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1E" w:rsidRDefault="004E41AB">
      <w:pPr>
        <w:spacing w:line="572" w:lineRule="exact"/>
        <w:ind w:left="425" w:hanging="425"/>
        <w:jc w:val="center"/>
        <w:rPr>
          <w:rFonts w:ascii="Times New Roman" w:eastAsia="方正小标宋简体" w:hAnsi="Times New Roman" w:cs="Times New Roman"/>
          <w:color w:val="000000" w:themeColor="text1"/>
          <w:sz w:val="44"/>
          <w:szCs w:val="44"/>
        </w:rPr>
      </w:pPr>
      <w:bookmarkStart w:id="0" w:name="_GoBack"/>
      <w:bookmarkEnd w:id="0"/>
      <w:r>
        <w:rPr>
          <w:rFonts w:ascii="Times New Roman" w:eastAsia="方正小标宋简体" w:hAnsi="Times New Roman" w:cs="Times New Roman"/>
          <w:color w:val="000000" w:themeColor="text1"/>
          <w:sz w:val="44"/>
          <w:szCs w:val="44"/>
        </w:rPr>
        <w:t>药品注册核查要点与判定原则</w:t>
      </w:r>
    </w:p>
    <w:p w:rsidR="009D311E" w:rsidRDefault="004E41AB">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（药物临床试验）</w:t>
      </w:r>
    </w:p>
    <w:p w:rsidR="009D311E" w:rsidRDefault="004E41AB">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（试行）</w:t>
      </w:r>
    </w:p>
    <w:p w:rsidR="009D311E" w:rsidRDefault="009D311E">
      <w:pPr>
        <w:spacing w:line="572" w:lineRule="exact"/>
        <w:rPr>
          <w:rFonts w:ascii="Times New Roman" w:eastAsia="仿宋_GB2312" w:hAnsi="Times New Roman" w:cs="Times New Roman"/>
          <w:color w:val="000000" w:themeColor="text1"/>
          <w:sz w:val="32"/>
          <w:szCs w:val="32"/>
        </w:rPr>
      </w:pP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为保证药品注册核查质量，统一核查范围和判定标准，根据《</w:t>
      </w:r>
      <w:r>
        <w:rPr>
          <w:rFonts w:ascii="Times New Roman" w:eastAsia="仿宋_GB2312" w:hAnsi="Times New Roman" w:cs="Times New Roman" w:hint="eastAsia"/>
          <w:color w:val="000000" w:themeColor="text1"/>
          <w:sz w:val="32"/>
          <w:szCs w:val="32"/>
        </w:rPr>
        <w:t>中华人民共和国</w:t>
      </w:r>
      <w:r>
        <w:rPr>
          <w:rFonts w:ascii="Times New Roman" w:eastAsia="仿宋_GB2312" w:hAnsi="Times New Roman" w:cs="Times New Roman"/>
          <w:color w:val="000000" w:themeColor="text1"/>
          <w:sz w:val="32"/>
          <w:szCs w:val="32"/>
        </w:rPr>
        <w:t>药品管理法》《药品注册管理办法》和《药物临床试验质量管理规范》等法律法规及相关指导原则，特制定《药品注册核查要点与判定原则（药物临床试验）</w:t>
      </w:r>
      <w:r>
        <w:rPr>
          <w:rFonts w:ascii="Times New Roman" w:eastAsia="仿宋_GB2312" w:hAnsi="Times New Roman" w:cs="Times New Roman" w:hint="eastAsia"/>
          <w:color w:val="000000" w:themeColor="text1"/>
          <w:sz w:val="32"/>
          <w:szCs w:val="32"/>
        </w:rPr>
        <w:t>（试行）</w:t>
      </w:r>
      <w:r>
        <w:rPr>
          <w:rFonts w:ascii="Times New Roman" w:eastAsia="仿宋_GB2312" w:hAnsi="Times New Roman" w:cs="Times New Roman"/>
          <w:color w:val="000000" w:themeColor="text1"/>
          <w:sz w:val="32"/>
          <w:szCs w:val="32"/>
        </w:rPr>
        <w:t>》。</w:t>
      </w:r>
    </w:p>
    <w:p w:rsidR="009D311E" w:rsidRDefault="004E41AB">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药品注册现场核查（药物临床试验）的目的</w:t>
      </w:r>
      <w:r>
        <w:rPr>
          <w:rFonts w:ascii="仿宋_GB2312" w:eastAsia="仿宋_GB2312" w:hint="eastAsia"/>
          <w:color w:val="000000" w:themeColor="text1"/>
          <w:sz w:val="32"/>
          <w:szCs w:val="32"/>
        </w:rPr>
        <w:t>主要是通过对注册申报资料与临床试验的原始记录和文件的</w:t>
      </w:r>
      <w:r>
        <w:rPr>
          <w:rFonts w:ascii="仿宋_GB2312" w:eastAsia="仿宋_GB2312"/>
          <w:color w:val="000000" w:themeColor="text1"/>
          <w:sz w:val="32"/>
          <w:szCs w:val="32"/>
        </w:rPr>
        <w:t>核对和</w:t>
      </w:r>
      <w:r>
        <w:rPr>
          <w:rFonts w:ascii="仿宋_GB2312" w:eastAsia="仿宋_GB2312"/>
          <w:color w:val="000000" w:themeColor="text1"/>
          <w:sz w:val="32"/>
          <w:szCs w:val="32"/>
        </w:rPr>
        <w:t>/</w:t>
      </w:r>
      <w:r>
        <w:rPr>
          <w:rFonts w:ascii="仿宋_GB2312" w:eastAsia="仿宋_GB2312" w:hint="eastAsia"/>
          <w:color w:val="000000" w:themeColor="text1"/>
          <w:sz w:val="32"/>
          <w:szCs w:val="32"/>
        </w:rPr>
        <w:t>或实地确证，评价试验实施、数据记录和结果报告是否符合试验方案和药物临床试验相关法规，</w:t>
      </w:r>
      <w:r>
        <w:rPr>
          <w:rFonts w:ascii="Times New Roman" w:eastAsia="仿宋_GB2312" w:hAnsi="Times New Roman" w:cs="Times New Roman"/>
          <w:color w:val="000000" w:themeColor="text1"/>
          <w:sz w:val="32"/>
          <w:szCs w:val="32"/>
        </w:rPr>
        <w:t>核实相关申报资料的真实性、一致性</w:t>
      </w:r>
      <w:r>
        <w:rPr>
          <w:rFonts w:ascii="Times New Roman" w:eastAsia="仿宋_GB2312" w:hAnsi="Times New Roman" w:cs="Times New Roman" w:hint="eastAsia"/>
          <w:color w:val="000000" w:themeColor="text1"/>
          <w:sz w:val="32"/>
          <w:szCs w:val="32"/>
        </w:rPr>
        <w:t>，</w:t>
      </w:r>
      <w:r>
        <w:rPr>
          <w:rFonts w:ascii="仿宋_GB2312" w:eastAsia="仿宋_GB2312" w:hint="eastAsia"/>
          <w:color w:val="000000" w:themeColor="text1"/>
          <w:sz w:val="32"/>
          <w:szCs w:val="32"/>
        </w:rPr>
        <w:t>同时关注受试者保护。</w:t>
      </w:r>
    </w:p>
    <w:p w:rsidR="009D311E" w:rsidRDefault="004E41AB">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二、范围</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（一）适用于由国家药品监督管理局药品审评中心启动、由国家药品监督管理局食品药品审核查验中心组织实施的药品注册研制现场核查中的药物临床试验现场核查。被核查机构</w:t>
      </w:r>
      <w:r>
        <w:rPr>
          <w:rFonts w:ascii="Times New Roman" w:eastAsia="仿宋_GB2312" w:hAnsi="Times New Roman" w:cs="Times New Roman" w:hint="eastAsia"/>
          <w:color w:val="000000" w:themeColor="text1"/>
          <w:sz w:val="32"/>
          <w:szCs w:val="32"/>
        </w:rPr>
        <w:t>基于注册需要和风险原则</w:t>
      </w:r>
      <w:r>
        <w:rPr>
          <w:rFonts w:ascii="Times New Roman" w:eastAsia="仿宋_GB2312" w:hAnsi="Times New Roman" w:cs="Times New Roman"/>
          <w:color w:val="000000" w:themeColor="text1"/>
          <w:sz w:val="32"/>
          <w:szCs w:val="32"/>
        </w:rPr>
        <w:t>确定。药品审评中心发起的</w:t>
      </w:r>
      <w:r>
        <w:rPr>
          <w:rFonts w:ascii="宋体" w:eastAsia="宋体" w:hAnsi="宋体" w:cs="宋体" w:hint="eastAsia"/>
          <w:color w:val="000000" w:themeColor="text1"/>
          <w:sz w:val="32"/>
          <w:szCs w:val="32"/>
        </w:rPr>
        <w:t>Ⅳ</w:t>
      </w:r>
      <w:r>
        <w:rPr>
          <w:rFonts w:ascii="Times New Roman" w:eastAsia="仿宋_GB2312" w:hAnsi="Times New Roman" w:cs="Times New Roman"/>
          <w:color w:val="000000" w:themeColor="text1"/>
          <w:sz w:val="32"/>
          <w:szCs w:val="32"/>
        </w:rPr>
        <w:t>期等药物临床试验现场核查参考本核查要点执行。</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（二）药物临床试验现场核查，是对注册申</w:t>
      </w:r>
      <w:r>
        <w:rPr>
          <w:rFonts w:ascii="Times New Roman" w:eastAsia="仿宋_GB2312" w:hAnsi="Times New Roman" w:cs="Times New Roman" w:hint="eastAsia"/>
          <w:color w:val="000000" w:themeColor="text1"/>
          <w:sz w:val="32"/>
          <w:szCs w:val="32"/>
        </w:rPr>
        <w:t>报</w:t>
      </w:r>
      <w:r>
        <w:rPr>
          <w:rFonts w:ascii="Times New Roman" w:eastAsia="仿宋_GB2312" w:hAnsi="Times New Roman" w:cs="Times New Roman"/>
          <w:color w:val="000000" w:themeColor="text1"/>
          <w:sz w:val="32"/>
          <w:szCs w:val="32"/>
        </w:rPr>
        <w:t>资料中的临床试验情况进行实地检查、核实。主要对研究者履行职责情况，</w:t>
      </w:r>
      <w:r>
        <w:rPr>
          <w:rFonts w:ascii="Times New Roman" w:eastAsia="仿宋_GB2312" w:hAnsi="Times New Roman" w:cs="Times New Roman"/>
          <w:color w:val="000000" w:themeColor="text1"/>
          <w:sz w:val="32"/>
          <w:szCs w:val="32"/>
        </w:rPr>
        <w:lastRenderedPageBreak/>
        <w:t>包括</w:t>
      </w:r>
      <w:r>
        <w:rPr>
          <w:rFonts w:ascii="Times New Roman" w:eastAsia="仿宋_GB2312" w:hAnsi="Times New Roman" w:cs="Times New Roman" w:hint="eastAsia"/>
          <w:color w:val="000000" w:themeColor="text1"/>
          <w:sz w:val="32"/>
          <w:szCs w:val="32"/>
        </w:rPr>
        <w:t>受试者</w:t>
      </w:r>
      <w:r>
        <w:rPr>
          <w:rFonts w:ascii="Times New Roman" w:eastAsia="仿宋_GB2312" w:hAnsi="Times New Roman" w:cs="Times New Roman"/>
          <w:color w:val="000000" w:themeColor="text1"/>
          <w:sz w:val="32"/>
          <w:szCs w:val="32"/>
        </w:rPr>
        <w:t>保护、执行试验方案、数据记录和结果报告等方面进行核查。</w:t>
      </w:r>
      <w:r>
        <w:rPr>
          <w:rFonts w:ascii="Times New Roman" w:eastAsia="仿宋_GB2312" w:hAnsi="Times New Roman" w:cs="Times New Roman" w:hint="eastAsia"/>
          <w:color w:val="000000" w:themeColor="text1"/>
          <w:sz w:val="32"/>
          <w:szCs w:val="32"/>
        </w:rPr>
        <w:t>基于</w:t>
      </w:r>
      <w:r>
        <w:rPr>
          <w:rFonts w:ascii="Times New Roman" w:eastAsia="仿宋_GB2312" w:hAnsi="Times New Roman" w:cs="Times New Roman"/>
          <w:color w:val="000000" w:themeColor="text1"/>
          <w:sz w:val="32"/>
          <w:szCs w:val="32"/>
        </w:rPr>
        <w:t>注册需要和</w:t>
      </w:r>
      <w:r>
        <w:rPr>
          <w:rFonts w:ascii="Times New Roman" w:eastAsia="仿宋_GB2312" w:hAnsi="Times New Roman" w:cs="Times New Roman" w:hint="eastAsia"/>
          <w:color w:val="000000" w:themeColor="text1"/>
          <w:sz w:val="32"/>
          <w:szCs w:val="32"/>
        </w:rPr>
        <w:t>风险</w:t>
      </w:r>
      <w:r>
        <w:rPr>
          <w:rFonts w:ascii="Times New Roman" w:eastAsia="仿宋_GB2312" w:hAnsi="Times New Roman" w:cs="Times New Roman"/>
          <w:color w:val="000000" w:themeColor="text1"/>
          <w:sz w:val="32"/>
          <w:szCs w:val="32"/>
        </w:rPr>
        <w:t>原则，可仅对部分核查要点内容进行核查。必要时，可对申办者、合同研究组织或试验用药品制备条件及情况等进行现场核查，对试验用药品进行抽查检验。</w:t>
      </w:r>
    </w:p>
    <w:p w:rsidR="009D311E" w:rsidRDefault="004E41AB">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w:t>
      </w:r>
      <w:r>
        <w:rPr>
          <w:rFonts w:ascii="Times New Roman" w:eastAsia="黑体" w:hAnsi="Times New Roman" w:cs="Times New Roman" w:hint="eastAsia"/>
          <w:color w:val="000000" w:themeColor="text1"/>
          <w:sz w:val="32"/>
          <w:szCs w:val="32"/>
        </w:rPr>
        <w:t>临床试验</w:t>
      </w:r>
      <w:r>
        <w:rPr>
          <w:rFonts w:ascii="Times New Roman" w:eastAsia="黑体" w:hAnsi="Times New Roman" w:cs="Times New Roman"/>
          <w:color w:val="000000" w:themeColor="text1"/>
          <w:sz w:val="32"/>
          <w:szCs w:val="32"/>
        </w:rPr>
        <w:t>部分现场核查要点</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（一）临床试验许可与条件</w:t>
      </w:r>
      <w:r>
        <w:rPr>
          <w:rFonts w:ascii="Times New Roman" w:eastAsia="楷体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仿宋_GB2312" w:eastAsia="仿宋_GB2312" w:hAnsi="黑体" w:hint="eastAsia"/>
          <w:color w:val="000000" w:themeColor="text1"/>
          <w:sz w:val="32"/>
          <w:szCs w:val="32"/>
        </w:rPr>
        <w:t>开展临床试验，应当获得药品监督管理部门许可，生物等效性试验应按照要求完成备案。</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具有药物临床试验伦理委员会批件。</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药物临床试验在具备相应条件并按规定备案的药物临床试验机构（以下简称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临床试验机构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）开展。其中，疫苗临床试验由符合国家药品监督管理局和国家卫生健康委员会规定条件的三级医疗机构或者省级以上疾病预防控制机构实施或者组织实施。</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临床试验实际开展场地与申报资料中试验地址一致，具备临床试验所需设施设备，检定、校准和日常维护符合要求，医疗急救设施保证有效运转。</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临床试验机构及专业制定与工作相适应的管理文件，并遵照执行。管理文件符合法规及指导原则等的要求，能够覆盖临床试验的全过程。</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临床试验各环节参与人员</w:t>
      </w:r>
      <w:r>
        <w:rPr>
          <w:rFonts w:ascii="Times New Roman" w:eastAsia="仿宋_GB2312" w:hAnsi="Times New Roman" w:cs="Times New Roman" w:hint="eastAsia"/>
          <w:color w:val="000000" w:themeColor="text1"/>
          <w:sz w:val="32"/>
          <w:szCs w:val="32"/>
        </w:rPr>
        <w:t>具有能够</w:t>
      </w:r>
      <w:r>
        <w:rPr>
          <w:rFonts w:ascii="Times New Roman" w:eastAsia="仿宋_GB2312" w:hAnsi="Times New Roman" w:cs="Times New Roman"/>
          <w:color w:val="000000" w:themeColor="text1"/>
          <w:sz w:val="32"/>
          <w:szCs w:val="32"/>
        </w:rPr>
        <w:t>承担临床试验工作相</w:t>
      </w:r>
      <w:r>
        <w:rPr>
          <w:rFonts w:ascii="Times New Roman" w:eastAsia="仿宋_GB2312" w:hAnsi="Times New Roman" w:cs="Times New Roman"/>
          <w:color w:val="000000" w:themeColor="text1"/>
          <w:sz w:val="32"/>
          <w:szCs w:val="32"/>
        </w:rPr>
        <w:lastRenderedPageBreak/>
        <w:t>应的教育、培训和经验，并得到主要研究者的授权。</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研究者、临床试验机构与申办者在试验开始前签署临床试验合同，对相关的权利与义务进行约定。</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申办者</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合同研究组织（</w:t>
      </w:r>
      <w:r>
        <w:rPr>
          <w:rFonts w:ascii="Times New Roman" w:eastAsia="仿宋_GB2312" w:hAnsi="Times New Roman" w:cs="Times New Roman"/>
          <w:color w:val="000000" w:themeColor="text1"/>
          <w:sz w:val="32"/>
          <w:szCs w:val="32"/>
        </w:rPr>
        <w:t>CRO</w:t>
      </w:r>
      <w:r>
        <w:rPr>
          <w:rFonts w:ascii="Times New Roman" w:eastAsia="仿宋_GB2312" w:hAnsi="Times New Roman" w:cs="Times New Roman"/>
          <w:color w:val="000000" w:themeColor="text1"/>
          <w:sz w:val="32"/>
          <w:szCs w:val="32"/>
        </w:rPr>
        <w:t>）按照药物临床试验质量管理规范（</w:t>
      </w:r>
      <w:r>
        <w:rPr>
          <w:rFonts w:ascii="Times New Roman" w:eastAsia="仿宋_GB2312" w:hAnsi="Times New Roman" w:cs="Times New Roman"/>
          <w:color w:val="000000" w:themeColor="text1"/>
          <w:sz w:val="32"/>
          <w:szCs w:val="32"/>
        </w:rPr>
        <w:t>GCP</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临床试验</w:t>
      </w:r>
      <w:r>
        <w:rPr>
          <w:rFonts w:ascii="Times New Roman" w:eastAsia="仿宋_GB2312" w:hAnsi="Times New Roman" w:cs="Times New Roman"/>
          <w:color w:val="000000" w:themeColor="text1"/>
          <w:sz w:val="32"/>
          <w:szCs w:val="32"/>
        </w:rPr>
        <w:t>方案及合同履行了相应职责</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并保存相关文件和记录。</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医疗机构临床实验室保证</w:t>
      </w:r>
      <w:r>
        <w:rPr>
          <w:rFonts w:ascii="Times New Roman" w:eastAsia="仿宋_GB2312" w:hAnsi="Times New Roman" w:cs="Times New Roman" w:hint="eastAsia"/>
          <w:color w:val="000000" w:themeColor="text1"/>
          <w:sz w:val="32"/>
          <w:szCs w:val="32"/>
        </w:rPr>
        <w:t>检验</w:t>
      </w:r>
      <w:r>
        <w:rPr>
          <w:rFonts w:ascii="Times New Roman" w:eastAsia="仿宋_GB2312" w:hAnsi="Times New Roman" w:cs="Times New Roman"/>
          <w:color w:val="000000" w:themeColor="text1"/>
          <w:sz w:val="32"/>
          <w:szCs w:val="32"/>
        </w:rPr>
        <w:t>检测系统的完整性和有效性，对需要校准的检验仪器、对临床检验结果有影响的辅助设备及临床试验需要的其他设备等进行定期校准。</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医疗机构临床实验室参加经国家卫生健康部门认定的室间质量评</w:t>
      </w:r>
      <w:r>
        <w:rPr>
          <w:rFonts w:ascii="Times New Roman" w:eastAsia="仿宋_GB2312" w:hAnsi="Times New Roman" w:cs="Times New Roman"/>
          <w:color w:val="000000" w:themeColor="text1"/>
          <w:sz w:val="32"/>
          <w:szCs w:val="32"/>
        </w:rPr>
        <w:t>价机构组织的临床检验室间质量评价</w:t>
      </w:r>
      <w:r>
        <w:rPr>
          <w:rFonts w:ascii="Times New Roman" w:eastAsia="仿宋_GB2312" w:hAnsi="Times New Roman" w:cs="Times New Roman" w:hint="eastAsia"/>
          <w:color w:val="000000" w:themeColor="text1"/>
          <w:sz w:val="32"/>
          <w:szCs w:val="32"/>
        </w:rPr>
        <w:t>并取得</w:t>
      </w:r>
      <w:r>
        <w:rPr>
          <w:rFonts w:ascii="Times New Roman" w:eastAsia="仿宋_GB2312" w:hAnsi="Times New Roman" w:cs="Times New Roman"/>
          <w:color w:val="000000" w:themeColor="text1"/>
          <w:sz w:val="32"/>
          <w:szCs w:val="32"/>
        </w:rPr>
        <w:t>通过证书。</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（二）伦理审查</w:t>
      </w:r>
      <w:r>
        <w:rPr>
          <w:rFonts w:ascii="Times New Roman" w:eastAsia="楷体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项目审查的伦理委员会到会人员数量和背景符合</w:t>
      </w:r>
      <w:r>
        <w:rPr>
          <w:rFonts w:ascii="Times New Roman" w:eastAsia="仿宋_GB2312" w:hAnsi="Times New Roman" w:cs="Times New Roman" w:hint="eastAsia"/>
          <w:color w:val="000000" w:themeColor="text1"/>
          <w:sz w:val="32"/>
          <w:szCs w:val="32"/>
        </w:rPr>
        <w:t>法规及</w:t>
      </w:r>
      <w:r>
        <w:rPr>
          <w:rFonts w:ascii="Times New Roman" w:eastAsia="仿宋_GB2312" w:hAnsi="Times New Roman" w:cs="Times New Roman" w:hint="eastAsia"/>
          <w:color w:val="000000" w:themeColor="text1"/>
          <w:sz w:val="32"/>
          <w:szCs w:val="32"/>
        </w:rPr>
        <w:t>SOP</w:t>
      </w:r>
      <w:r>
        <w:rPr>
          <w:rFonts w:ascii="Times New Roman" w:eastAsia="仿宋_GB2312" w:hAnsi="Times New Roman" w:cs="Times New Roman"/>
          <w:color w:val="000000" w:themeColor="text1"/>
          <w:sz w:val="32"/>
          <w:szCs w:val="32"/>
        </w:rPr>
        <w:t>要求。</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按照相关法规及</w:t>
      </w:r>
      <w:r>
        <w:rPr>
          <w:rFonts w:ascii="Times New Roman" w:eastAsia="仿宋_GB2312" w:hAnsi="Times New Roman" w:cs="Times New Roman" w:hint="eastAsia"/>
          <w:color w:val="000000" w:themeColor="text1"/>
          <w:sz w:val="32"/>
          <w:szCs w:val="32"/>
        </w:rPr>
        <w:t>SOP</w:t>
      </w:r>
      <w:r>
        <w:rPr>
          <w:rFonts w:ascii="Times New Roman" w:eastAsia="仿宋_GB2312" w:hAnsi="Times New Roman" w:cs="Times New Roman" w:hint="eastAsia"/>
          <w:color w:val="000000" w:themeColor="text1"/>
          <w:sz w:val="32"/>
          <w:szCs w:val="32"/>
        </w:rPr>
        <w:t>规定</w:t>
      </w:r>
      <w:r>
        <w:rPr>
          <w:rFonts w:ascii="Times New Roman" w:eastAsia="仿宋_GB2312" w:hAnsi="Times New Roman" w:cs="Times New Roman"/>
          <w:color w:val="000000" w:themeColor="text1"/>
          <w:sz w:val="32"/>
          <w:szCs w:val="32"/>
        </w:rPr>
        <w:t>开展伦理审查</w:t>
      </w:r>
      <w:r>
        <w:rPr>
          <w:rFonts w:ascii="Times New Roman" w:eastAsia="仿宋_GB2312" w:hAnsi="Times New Roman" w:cs="Times New Roman" w:hint="eastAsia"/>
          <w:color w:val="000000" w:themeColor="text1"/>
          <w:sz w:val="32"/>
          <w:szCs w:val="32"/>
        </w:rPr>
        <w:t>，留</w:t>
      </w:r>
      <w:r>
        <w:rPr>
          <w:rFonts w:ascii="Times New Roman" w:eastAsia="仿宋_GB2312" w:hAnsi="Times New Roman" w:cs="Times New Roman"/>
          <w:color w:val="000000" w:themeColor="text1"/>
          <w:sz w:val="32"/>
          <w:szCs w:val="32"/>
        </w:rPr>
        <w:t>有书面记录，并注明会议时间及讨论内容</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伦理委员表决票及审查结论保存完整且与伦理审</w:t>
      </w:r>
      <w:r>
        <w:rPr>
          <w:rFonts w:ascii="Times New Roman" w:eastAsia="仿宋_GB2312" w:hAnsi="Times New Roman" w:cs="Times New Roman" w:hint="eastAsia"/>
          <w:color w:val="000000" w:themeColor="text1"/>
          <w:sz w:val="32"/>
          <w:szCs w:val="32"/>
        </w:rPr>
        <w:t>查</w:t>
      </w:r>
      <w:r>
        <w:rPr>
          <w:rFonts w:ascii="Times New Roman" w:eastAsia="仿宋_GB2312" w:hAnsi="Times New Roman" w:cs="Times New Roman"/>
          <w:color w:val="000000" w:themeColor="text1"/>
          <w:sz w:val="32"/>
          <w:szCs w:val="32"/>
        </w:rPr>
        <w:t>批件一致。</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伦理委员会关注受试者的损害是否得到及时的医学处理，监督申办者、研究者及时兑现给与受试者的补偿或赔偿。</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 </w:t>
      </w:r>
      <w:r>
        <w:rPr>
          <w:rFonts w:ascii="Times New Roman" w:eastAsia="仿宋_GB2312" w:hAnsi="Times New Roman" w:cs="Times New Roman"/>
          <w:color w:val="000000" w:themeColor="text1"/>
          <w:sz w:val="32"/>
          <w:szCs w:val="32"/>
        </w:rPr>
        <w:t>试验方案设计符合我国</w:t>
      </w:r>
      <w:r>
        <w:rPr>
          <w:rFonts w:ascii="Times New Roman" w:eastAsia="仿宋_GB2312" w:hAnsi="Times New Roman" w:cs="Times New Roman"/>
          <w:color w:val="000000" w:themeColor="text1"/>
          <w:sz w:val="32"/>
          <w:szCs w:val="32"/>
        </w:rPr>
        <w:t>GCP</w:t>
      </w:r>
      <w:r>
        <w:rPr>
          <w:rFonts w:ascii="Times New Roman" w:eastAsia="仿宋_GB2312" w:hAnsi="Times New Roman" w:cs="Times New Roman"/>
          <w:color w:val="000000" w:themeColor="text1"/>
          <w:sz w:val="32"/>
          <w:szCs w:val="32"/>
        </w:rPr>
        <w:t>要求，试验</w:t>
      </w:r>
      <w:proofErr w:type="gramStart"/>
      <w:r>
        <w:rPr>
          <w:rFonts w:ascii="Times New Roman" w:eastAsia="仿宋_GB2312" w:hAnsi="Times New Roman" w:cs="Times New Roman"/>
          <w:color w:val="000000" w:themeColor="text1"/>
          <w:sz w:val="32"/>
          <w:szCs w:val="32"/>
        </w:rPr>
        <w:t>用相关</w:t>
      </w:r>
      <w:proofErr w:type="gramEnd"/>
      <w:r>
        <w:rPr>
          <w:rFonts w:ascii="Times New Roman" w:eastAsia="仿宋_GB2312" w:hAnsi="Times New Roman" w:cs="Times New Roman"/>
          <w:color w:val="000000" w:themeColor="text1"/>
          <w:sz w:val="32"/>
          <w:szCs w:val="32"/>
        </w:rPr>
        <w:t>日记卡、问卷等</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设计应能满足</w:t>
      </w:r>
      <w:r>
        <w:rPr>
          <w:rFonts w:ascii="Times New Roman" w:eastAsia="仿宋_GB2312" w:hAnsi="Times New Roman" w:cs="Times New Roman" w:hint="eastAsia"/>
          <w:color w:val="000000" w:themeColor="text1"/>
          <w:sz w:val="32"/>
          <w:szCs w:val="32"/>
        </w:rPr>
        <w:t>临床试验</w:t>
      </w:r>
      <w:r>
        <w:rPr>
          <w:rFonts w:ascii="Times New Roman" w:eastAsia="仿宋_GB2312" w:hAnsi="Times New Roman" w:cs="Times New Roman"/>
          <w:color w:val="000000" w:themeColor="text1"/>
          <w:sz w:val="32"/>
          <w:szCs w:val="32"/>
        </w:rPr>
        <w:t>数据</w:t>
      </w:r>
      <w:r>
        <w:rPr>
          <w:rFonts w:ascii="Times New Roman" w:eastAsia="仿宋_GB2312" w:hAnsi="Times New Roman" w:cs="Times New Roman" w:hint="eastAsia"/>
          <w:color w:val="000000" w:themeColor="text1"/>
          <w:sz w:val="32"/>
          <w:szCs w:val="32"/>
        </w:rPr>
        <w:t>的收集</w:t>
      </w:r>
      <w:r>
        <w:rPr>
          <w:rFonts w:ascii="Times New Roman" w:eastAsia="仿宋_GB2312" w:hAnsi="Times New Roman" w:cs="Times New Roman"/>
          <w:color w:val="000000" w:themeColor="text1"/>
          <w:sz w:val="32"/>
          <w:szCs w:val="32"/>
        </w:rPr>
        <w:t>和</w:t>
      </w:r>
      <w:proofErr w:type="gramStart"/>
      <w:r>
        <w:rPr>
          <w:rFonts w:ascii="Times New Roman" w:eastAsia="仿宋_GB2312" w:hAnsi="Times New Roman" w:cs="Times New Roman" w:hint="eastAsia"/>
          <w:color w:val="000000" w:themeColor="text1"/>
          <w:sz w:val="32"/>
          <w:szCs w:val="32"/>
        </w:rPr>
        <w:t>可</w:t>
      </w:r>
      <w:proofErr w:type="gramEnd"/>
      <w:r>
        <w:rPr>
          <w:rFonts w:ascii="Times New Roman" w:eastAsia="仿宋_GB2312" w:hAnsi="Times New Roman" w:cs="Times New Roman" w:hint="eastAsia"/>
          <w:color w:val="000000" w:themeColor="text1"/>
          <w:sz w:val="32"/>
          <w:szCs w:val="32"/>
        </w:rPr>
        <w:t>溯源性</w:t>
      </w:r>
      <w:r>
        <w:rPr>
          <w:rFonts w:ascii="Times New Roman" w:eastAsia="仿宋_GB2312" w:hAnsi="Times New Roman" w:cs="Times New Roman"/>
          <w:color w:val="000000" w:themeColor="text1"/>
          <w:sz w:val="32"/>
          <w:szCs w:val="32"/>
        </w:rPr>
        <w:t>要求。</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（三）临床试验实施过程</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1. </w:t>
      </w:r>
      <w:r>
        <w:rPr>
          <w:rFonts w:ascii="Times New Roman" w:eastAsia="仿宋_GB2312" w:hAnsi="Times New Roman" w:cs="Times New Roman"/>
          <w:color w:val="000000" w:themeColor="text1"/>
          <w:sz w:val="32"/>
          <w:szCs w:val="32"/>
        </w:rPr>
        <w:t>知情同意书的签署</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知情同意书的内容符合</w:t>
      </w:r>
      <w:r>
        <w:rPr>
          <w:rFonts w:ascii="Times New Roman" w:eastAsia="仿宋_GB2312" w:hAnsi="Times New Roman" w:cs="Times New Roman" w:hint="eastAsia"/>
          <w:color w:val="000000" w:themeColor="text1"/>
          <w:sz w:val="32"/>
          <w:szCs w:val="32"/>
        </w:rPr>
        <w:t>GCP</w:t>
      </w:r>
      <w:r>
        <w:rPr>
          <w:rFonts w:ascii="Times New Roman" w:eastAsia="仿宋_GB2312" w:hAnsi="Times New Roman" w:cs="Times New Roman" w:hint="eastAsia"/>
          <w:color w:val="000000" w:themeColor="text1"/>
          <w:sz w:val="32"/>
          <w:szCs w:val="32"/>
        </w:rPr>
        <w:t>要求</w:t>
      </w:r>
      <w:r>
        <w:rPr>
          <w:rFonts w:ascii="Times New Roman" w:eastAsia="仿宋_GB2312" w:hAnsi="Times New Roman" w:cs="Times New Roman"/>
          <w:color w:val="000000" w:themeColor="text1"/>
          <w:sz w:val="32"/>
          <w:szCs w:val="32"/>
        </w:rPr>
        <w:t>。</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筛选的受试者</w:t>
      </w:r>
      <w:proofErr w:type="gramStart"/>
      <w:r>
        <w:rPr>
          <w:rFonts w:ascii="Times New Roman" w:eastAsia="仿宋_GB2312" w:hAnsi="Times New Roman" w:cs="Times New Roman"/>
          <w:color w:val="000000" w:themeColor="text1"/>
          <w:sz w:val="32"/>
          <w:szCs w:val="32"/>
        </w:rPr>
        <w:t>均签署</w:t>
      </w:r>
      <w:proofErr w:type="gramEnd"/>
      <w:r>
        <w:rPr>
          <w:rFonts w:ascii="Times New Roman" w:eastAsia="仿宋_GB2312" w:hAnsi="Times New Roman" w:cs="Times New Roman"/>
          <w:color w:val="000000" w:themeColor="text1"/>
          <w:sz w:val="32"/>
          <w:szCs w:val="32"/>
        </w:rPr>
        <w:t>知情同意书。</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）知情同意书</w:t>
      </w:r>
      <w:r>
        <w:rPr>
          <w:rFonts w:ascii="Times New Roman" w:eastAsia="仿宋_GB2312" w:hAnsi="Times New Roman" w:cs="Times New Roman" w:hint="eastAsia"/>
          <w:color w:val="000000" w:themeColor="text1"/>
          <w:sz w:val="32"/>
          <w:szCs w:val="32"/>
        </w:rPr>
        <w:t>中受试者和</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或监护人（如需要）、研究者、公平见证人（如需要）的签字和签署时间、签署版本</w:t>
      </w:r>
      <w:r>
        <w:rPr>
          <w:rFonts w:ascii="Times New Roman" w:eastAsia="仿宋_GB2312" w:hAnsi="Times New Roman" w:cs="Times New Roman"/>
          <w:color w:val="000000" w:themeColor="text1"/>
          <w:sz w:val="32"/>
          <w:szCs w:val="32"/>
        </w:rPr>
        <w:t>等符合</w:t>
      </w:r>
      <w:r>
        <w:rPr>
          <w:rFonts w:ascii="Times New Roman" w:eastAsia="仿宋_GB2312" w:hAnsi="Times New Roman" w:cs="Times New Roman"/>
          <w:color w:val="000000" w:themeColor="text1"/>
          <w:sz w:val="32"/>
          <w:szCs w:val="32"/>
        </w:rPr>
        <w:t>GCP</w:t>
      </w:r>
      <w:r>
        <w:rPr>
          <w:rFonts w:ascii="Times New Roman" w:eastAsia="仿宋_GB2312" w:hAnsi="Times New Roman" w:cs="Times New Roman"/>
          <w:color w:val="000000" w:themeColor="text1"/>
          <w:sz w:val="32"/>
          <w:szCs w:val="32"/>
        </w:rPr>
        <w:t>要求</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）知情同意书签署时间不得早于伦理批准时间</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筛选时间不得早于知情同意书签署时间。</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）向受试者或其监护人解释试验内容并获得知情同意的研究者或指定研究人员为经过授权的</w:t>
      </w:r>
      <w:r>
        <w:rPr>
          <w:rFonts w:ascii="Times New Roman" w:eastAsia="仿宋_GB2312" w:hAnsi="Times New Roman" w:cs="Times New Roman" w:hint="eastAsia"/>
          <w:color w:val="000000" w:themeColor="text1"/>
          <w:sz w:val="32"/>
          <w:szCs w:val="32"/>
        </w:rPr>
        <w:t>研究人员，且具备在本院的</w:t>
      </w:r>
      <w:r>
        <w:rPr>
          <w:rFonts w:ascii="Times New Roman" w:eastAsia="仿宋_GB2312" w:hAnsi="Times New Roman" w:cs="Times New Roman"/>
          <w:color w:val="000000" w:themeColor="text1"/>
          <w:sz w:val="32"/>
          <w:szCs w:val="32"/>
        </w:rPr>
        <w:t>执业资质。</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 </w:t>
      </w:r>
      <w:r>
        <w:rPr>
          <w:rFonts w:ascii="Times New Roman" w:eastAsia="仿宋_GB2312" w:hAnsi="Times New Roman" w:cs="Times New Roman"/>
          <w:color w:val="000000" w:themeColor="text1"/>
          <w:sz w:val="32"/>
          <w:szCs w:val="32"/>
        </w:rPr>
        <w:t>受试者筛选入组及方案执行</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）有</w:t>
      </w:r>
      <w:r>
        <w:rPr>
          <w:rFonts w:ascii="Times New Roman" w:eastAsia="仿宋_GB2312" w:hAnsi="Times New Roman" w:cs="Times New Roman" w:hint="eastAsia"/>
          <w:color w:val="000000" w:themeColor="text1"/>
          <w:sz w:val="32"/>
          <w:szCs w:val="32"/>
        </w:rPr>
        <w:t>源数据</w:t>
      </w:r>
      <w:r>
        <w:rPr>
          <w:rFonts w:ascii="Times New Roman" w:eastAsia="仿宋_GB2312" w:hAnsi="Times New Roman" w:cs="Times New Roman"/>
          <w:color w:val="000000" w:themeColor="text1"/>
          <w:sz w:val="32"/>
          <w:szCs w:val="32"/>
        </w:rPr>
        <w:t>支持</w:t>
      </w:r>
      <w:r>
        <w:rPr>
          <w:rFonts w:ascii="Times New Roman" w:eastAsia="仿宋_GB2312" w:hAnsi="Times New Roman" w:cs="Times New Roman" w:hint="eastAsia"/>
          <w:color w:val="000000" w:themeColor="text1"/>
          <w:sz w:val="32"/>
          <w:szCs w:val="32"/>
        </w:rPr>
        <w:t>以证实</w:t>
      </w:r>
      <w:r>
        <w:rPr>
          <w:rFonts w:ascii="Times New Roman" w:eastAsia="仿宋_GB2312" w:hAnsi="Times New Roman" w:cs="Times New Roman"/>
          <w:color w:val="000000" w:themeColor="text1"/>
          <w:sz w:val="32"/>
          <w:szCs w:val="32"/>
        </w:rPr>
        <w:t>所有受试者确实参与了临</w:t>
      </w:r>
      <w:r>
        <w:rPr>
          <w:rFonts w:ascii="Times New Roman" w:eastAsia="仿宋_GB2312" w:hAnsi="Times New Roman" w:cs="Times New Roman"/>
          <w:color w:val="000000" w:themeColor="text1"/>
          <w:sz w:val="32"/>
          <w:szCs w:val="32"/>
        </w:rPr>
        <w:t>床试验。</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受试者筛选应遵守</w:t>
      </w:r>
      <w:r>
        <w:rPr>
          <w:rFonts w:ascii="Times New Roman" w:eastAsia="仿宋_GB2312" w:hAnsi="Times New Roman" w:cs="Times New Roman"/>
          <w:color w:val="000000" w:themeColor="text1"/>
          <w:sz w:val="32"/>
          <w:szCs w:val="32"/>
        </w:rPr>
        <w:t>临床试验方案规定的入选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排除标准</w:t>
      </w:r>
      <w:r>
        <w:rPr>
          <w:rFonts w:ascii="Times New Roman" w:eastAsia="仿宋_GB2312" w:hAnsi="Times New Roman" w:cs="Times New Roman" w:hint="eastAsia"/>
          <w:color w:val="000000" w:themeColor="text1"/>
          <w:sz w:val="32"/>
          <w:szCs w:val="32"/>
        </w:rPr>
        <w:t>，入组受试者应保留</w:t>
      </w:r>
      <w:r>
        <w:rPr>
          <w:rFonts w:ascii="Times New Roman" w:eastAsia="仿宋_GB2312" w:hAnsi="Times New Roman" w:cs="Times New Roman"/>
          <w:color w:val="000000" w:themeColor="text1"/>
          <w:sz w:val="32"/>
          <w:szCs w:val="32"/>
        </w:rPr>
        <w:t>足够的支持性证据。</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）研究者遵守临床试验方案规定的随机化程序。</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）盲法试验（如涉及）按照试验方案的要求设盲、</w:t>
      </w:r>
      <w:proofErr w:type="gramStart"/>
      <w:r>
        <w:rPr>
          <w:rFonts w:ascii="Times New Roman" w:eastAsia="仿宋_GB2312" w:hAnsi="Times New Roman" w:cs="Times New Roman"/>
          <w:color w:val="000000" w:themeColor="text1"/>
          <w:sz w:val="32"/>
          <w:szCs w:val="32"/>
        </w:rPr>
        <w:t>保持盲态和</w:t>
      </w:r>
      <w:proofErr w:type="gramEnd"/>
      <w:r>
        <w:rPr>
          <w:rFonts w:ascii="Times New Roman" w:eastAsia="仿宋_GB2312" w:hAnsi="Times New Roman" w:cs="Times New Roman"/>
          <w:color w:val="000000" w:themeColor="text1"/>
          <w:sz w:val="32"/>
          <w:szCs w:val="32"/>
        </w:rPr>
        <w:t>实施揭盲</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意外破盲或因</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（严重不良事件）</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需</w:t>
      </w:r>
      <w:proofErr w:type="gramStart"/>
      <w:r>
        <w:rPr>
          <w:rFonts w:ascii="Times New Roman" w:eastAsia="仿宋_GB2312" w:hAnsi="Times New Roman" w:cs="Times New Roman"/>
          <w:color w:val="000000" w:themeColor="text1"/>
          <w:sz w:val="32"/>
          <w:szCs w:val="32"/>
        </w:rPr>
        <w:t>紧急揭盲</w:t>
      </w:r>
      <w:r>
        <w:rPr>
          <w:rFonts w:ascii="Times New Roman" w:eastAsia="仿宋_GB2312" w:hAnsi="Times New Roman" w:cs="Times New Roman" w:hint="eastAsia"/>
          <w:color w:val="000000" w:themeColor="text1"/>
          <w:sz w:val="32"/>
          <w:szCs w:val="32"/>
        </w:rPr>
        <w:t>时</w:t>
      </w:r>
      <w:proofErr w:type="gramEnd"/>
      <w:r>
        <w:rPr>
          <w:rFonts w:ascii="Times New Roman" w:eastAsia="仿宋_GB2312" w:hAnsi="Times New Roman" w:cs="Times New Roman"/>
          <w:color w:val="000000" w:themeColor="text1"/>
          <w:sz w:val="32"/>
          <w:szCs w:val="32"/>
        </w:rPr>
        <w:t>，研究者</w:t>
      </w:r>
      <w:r>
        <w:rPr>
          <w:rFonts w:ascii="Times New Roman" w:eastAsia="仿宋_GB2312" w:hAnsi="Times New Roman" w:cs="Times New Roman" w:hint="eastAsia"/>
          <w:color w:val="000000" w:themeColor="text1"/>
          <w:sz w:val="32"/>
          <w:szCs w:val="32"/>
        </w:rPr>
        <w:t>应</w:t>
      </w:r>
      <w:r>
        <w:rPr>
          <w:rFonts w:ascii="Times New Roman" w:eastAsia="仿宋_GB2312" w:hAnsi="Times New Roman" w:cs="Times New Roman"/>
          <w:color w:val="000000" w:themeColor="text1"/>
          <w:sz w:val="32"/>
          <w:szCs w:val="32"/>
        </w:rPr>
        <w:t>按照</w:t>
      </w:r>
      <w:proofErr w:type="gramStart"/>
      <w:r>
        <w:rPr>
          <w:rFonts w:ascii="Times New Roman" w:eastAsia="仿宋_GB2312" w:hAnsi="Times New Roman" w:cs="Times New Roman"/>
          <w:color w:val="000000" w:themeColor="text1"/>
          <w:sz w:val="32"/>
          <w:szCs w:val="32"/>
        </w:rPr>
        <w:t>紧急揭盲规程</w:t>
      </w:r>
      <w:proofErr w:type="gramEnd"/>
      <w:r>
        <w:rPr>
          <w:rFonts w:ascii="Times New Roman" w:eastAsia="仿宋_GB2312" w:hAnsi="Times New Roman" w:cs="Times New Roman" w:hint="eastAsia"/>
          <w:color w:val="000000" w:themeColor="text1"/>
          <w:sz w:val="32"/>
          <w:szCs w:val="32"/>
        </w:rPr>
        <w:t>操作</w:t>
      </w:r>
      <w:r>
        <w:rPr>
          <w:rFonts w:ascii="Times New Roman" w:eastAsia="仿宋_GB2312" w:hAnsi="Times New Roman" w:cs="Times New Roman"/>
          <w:color w:val="000000" w:themeColor="text1"/>
          <w:sz w:val="32"/>
          <w:szCs w:val="32"/>
        </w:rPr>
        <w:t>并书面说明原因。</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）研究者按照临床试验方案规定的试验流程和评估方法实施试验（</w:t>
      </w:r>
      <w:r>
        <w:rPr>
          <w:rFonts w:ascii="Times New Roman" w:eastAsia="仿宋_GB2312" w:hAnsi="Times New Roman" w:cs="Times New Roman" w:hint="eastAsia"/>
          <w:color w:val="000000" w:themeColor="text1"/>
          <w:sz w:val="32"/>
          <w:szCs w:val="32"/>
        </w:rPr>
        <w:t>如</w:t>
      </w:r>
      <w:r>
        <w:rPr>
          <w:rFonts w:ascii="Times New Roman" w:eastAsia="仿宋_GB2312" w:hAnsi="Times New Roman" w:cs="Times New Roman"/>
          <w:color w:val="000000" w:themeColor="text1"/>
          <w:sz w:val="32"/>
          <w:szCs w:val="32"/>
        </w:rPr>
        <w:t>访视、</w:t>
      </w:r>
      <w:r>
        <w:rPr>
          <w:rFonts w:ascii="Times New Roman" w:eastAsia="仿宋_GB2312" w:hAnsi="Times New Roman" w:cs="Times New Roman" w:hint="eastAsia"/>
          <w:color w:val="000000" w:themeColor="text1"/>
          <w:sz w:val="32"/>
          <w:szCs w:val="32"/>
        </w:rPr>
        <w:t>给药</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采血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安全性</w:t>
      </w:r>
      <w:r>
        <w:rPr>
          <w:rFonts w:ascii="Times New Roman" w:eastAsia="仿宋_GB2312" w:hAnsi="Times New Roman" w:cs="Times New Roman"/>
          <w:color w:val="000000" w:themeColor="text1"/>
          <w:sz w:val="32"/>
          <w:szCs w:val="32"/>
        </w:rPr>
        <w:t>检查和</w:t>
      </w:r>
      <w:r>
        <w:rPr>
          <w:rFonts w:ascii="Times New Roman" w:eastAsia="仿宋_GB2312" w:hAnsi="Times New Roman" w:cs="Times New Roman" w:hint="eastAsia"/>
          <w:color w:val="000000" w:themeColor="text1"/>
          <w:sz w:val="32"/>
          <w:szCs w:val="32"/>
        </w:rPr>
        <w:t>疗效</w:t>
      </w:r>
      <w:r>
        <w:rPr>
          <w:rFonts w:ascii="Times New Roman" w:eastAsia="仿宋_GB2312" w:hAnsi="Times New Roman" w:cs="Times New Roman"/>
          <w:color w:val="000000" w:themeColor="text1"/>
          <w:sz w:val="32"/>
          <w:szCs w:val="32"/>
        </w:rPr>
        <w:t>评估等），</w:t>
      </w:r>
      <w:r>
        <w:rPr>
          <w:rFonts w:ascii="Times New Roman" w:eastAsia="仿宋_GB2312" w:hAnsi="Times New Roman" w:cs="Times New Roman" w:hint="eastAsia"/>
          <w:color w:val="000000" w:themeColor="text1"/>
          <w:sz w:val="32"/>
          <w:szCs w:val="32"/>
        </w:rPr>
        <w:t>采取措施保证关键步骤实施的准确性，并保存相关记录，</w:t>
      </w:r>
      <w:r>
        <w:rPr>
          <w:rFonts w:ascii="Times New Roman" w:eastAsia="仿宋_GB2312" w:hAnsi="Times New Roman" w:cs="Times New Roman"/>
          <w:color w:val="000000" w:themeColor="text1"/>
          <w:sz w:val="32"/>
          <w:szCs w:val="32"/>
        </w:rPr>
        <w:t>如偏</w:t>
      </w:r>
      <w:r>
        <w:rPr>
          <w:rFonts w:ascii="Times New Roman" w:eastAsia="仿宋_GB2312" w:hAnsi="Times New Roman" w:cs="Times New Roman"/>
          <w:color w:val="000000" w:themeColor="text1"/>
          <w:sz w:val="32"/>
          <w:szCs w:val="32"/>
        </w:rPr>
        <w:lastRenderedPageBreak/>
        <w:t>离试验方案应予以记录和解释</w:t>
      </w:r>
      <w:r>
        <w:rPr>
          <w:rFonts w:ascii="Times New Roman" w:eastAsia="仿宋_GB2312" w:hAnsi="Times New Roman" w:cs="Times New Roman" w:hint="eastAsia"/>
          <w:color w:val="000000" w:themeColor="text1"/>
          <w:sz w:val="32"/>
          <w:szCs w:val="32"/>
        </w:rPr>
        <w:t>，合并用药或</w:t>
      </w:r>
      <w:r>
        <w:rPr>
          <w:rFonts w:ascii="Times New Roman" w:eastAsia="仿宋_GB2312" w:hAnsi="Times New Roman" w:cs="Times New Roman"/>
          <w:color w:val="000000" w:themeColor="text1"/>
          <w:sz w:val="32"/>
          <w:szCs w:val="32"/>
        </w:rPr>
        <w:t>合并治疗</w:t>
      </w:r>
      <w:r>
        <w:rPr>
          <w:rFonts w:ascii="Times New Roman" w:eastAsia="仿宋_GB2312" w:hAnsi="Times New Roman" w:cs="Times New Roman" w:hint="eastAsia"/>
          <w:color w:val="000000" w:themeColor="text1"/>
          <w:sz w:val="32"/>
          <w:szCs w:val="32"/>
        </w:rPr>
        <w:t>与禁用药物的记录符合方案规定的要求。</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 </w:t>
      </w:r>
      <w:r>
        <w:rPr>
          <w:rFonts w:ascii="Times New Roman" w:eastAsia="仿宋_GB2312" w:hAnsi="Times New Roman" w:cs="Times New Roman"/>
          <w:color w:val="000000" w:themeColor="text1"/>
          <w:sz w:val="32"/>
          <w:szCs w:val="32"/>
        </w:rPr>
        <w:t>安全性信息处理与报告</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对受试者的相关医学判断和临床决策由本机构具有执业资格的医学专业人员执行并记录。</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）研究者</w:t>
      </w:r>
      <w:r>
        <w:rPr>
          <w:rFonts w:ascii="Times New Roman" w:eastAsia="仿宋_GB2312" w:hAnsi="Times New Roman" w:cs="Times New Roman" w:hint="eastAsia"/>
          <w:color w:val="000000" w:themeColor="text1"/>
          <w:sz w:val="32"/>
          <w:szCs w:val="32"/>
        </w:rPr>
        <w:t>应完整</w:t>
      </w:r>
      <w:r>
        <w:rPr>
          <w:rFonts w:ascii="Times New Roman" w:eastAsia="仿宋_GB2312" w:hAnsi="Times New Roman" w:cs="Times New Roman"/>
          <w:color w:val="000000" w:themeColor="text1"/>
          <w:sz w:val="32"/>
          <w:szCs w:val="32"/>
        </w:rPr>
        <w:t>记录</w:t>
      </w:r>
      <w:r>
        <w:rPr>
          <w:rFonts w:ascii="Times New Roman" w:eastAsia="仿宋_GB2312" w:hAnsi="Times New Roman" w:cs="Times New Roman"/>
          <w:color w:val="000000" w:themeColor="text1"/>
          <w:sz w:val="32"/>
          <w:szCs w:val="32"/>
        </w:rPr>
        <w:t>AE</w:t>
      </w:r>
      <w:r>
        <w:rPr>
          <w:rFonts w:ascii="Times New Roman" w:eastAsia="仿宋_GB2312" w:hAnsi="Times New Roman" w:cs="Times New Roman"/>
          <w:color w:val="000000" w:themeColor="text1"/>
          <w:sz w:val="32"/>
          <w:szCs w:val="32"/>
        </w:rPr>
        <w:t>（不良事件）、</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与药物相关性判断</w:t>
      </w:r>
      <w:r>
        <w:rPr>
          <w:rFonts w:ascii="Times New Roman" w:eastAsia="仿宋_GB2312" w:hAnsi="Times New Roman" w:cs="Times New Roman" w:hint="eastAsia"/>
          <w:color w:val="000000" w:themeColor="text1"/>
          <w:sz w:val="32"/>
          <w:szCs w:val="32"/>
        </w:rPr>
        <w:t>标准</w:t>
      </w:r>
      <w:r>
        <w:rPr>
          <w:rFonts w:ascii="Times New Roman" w:eastAsia="仿宋_GB2312" w:hAnsi="Times New Roman" w:cs="Times New Roman"/>
          <w:color w:val="000000" w:themeColor="text1"/>
          <w:sz w:val="32"/>
          <w:szCs w:val="32"/>
        </w:rPr>
        <w:t>符合试验方案</w:t>
      </w:r>
      <w:r>
        <w:rPr>
          <w:rFonts w:ascii="Times New Roman" w:eastAsia="仿宋_GB2312" w:hAnsi="Times New Roman" w:cs="Times New Roman" w:hint="eastAsia"/>
          <w:color w:val="000000" w:themeColor="text1"/>
          <w:sz w:val="32"/>
          <w:szCs w:val="32"/>
        </w:rPr>
        <w:t>规定</w:t>
      </w:r>
      <w:r>
        <w:rPr>
          <w:rFonts w:ascii="Times New Roman" w:eastAsia="仿宋_GB2312" w:hAnsi="Times New Roman" w:cs="Times New Roman"/>
          <w:color w:val="000000" w:themeColor="text1"/>
          <w:sz w:val="32"/>
          <w:szCs w:val="32"/>
        </w:rPr>
        <w:t>和医疗常规。</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）研究者确保发生</w:t>
      </w:r>
      <w:r>
        <w:rPr>
          <w:rFonts w:ascii="Times New Roman" w:eastAsia="仿宋_GB2312" w:hAnsi="Times New Roman" w:cs="Times New Roman"/>
          <w:color w:val="000000" w:themeColor="text1"/>
          <w:sz w:val="32"/>
          <w:szCs w:val="32"/>
        </w:rPr>
        <w:t>AE</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的受试者得到及时合理的观察与治疗。</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除试验</w:t>
      </w:r>
      <w:proofErr w:type="gramEnd"/>
      <w:r>
        <w:rPr>
          <w:rFonts w:ascii="Times New Roman" w:eastAsia="仿宋_GB2312" w:hAnsi="Times New Roman" w:cs="Times New Roman"/>
          <w:color w:val="000000" w:themeColor="text1"/>
          <w:sz w:val="32"/>
          <w:szCs w:val="32"/>
        </w:rPr>
        <w:t>方案或者其他文件中规定不需立即报告的</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外，研究者立即向申办者书面报告所有</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，随后及时提供详尽、书面的随访报告。</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）涉及死亡事件的报告，研究者向申办者</w:t>
      </w:r>
      <w:r>
        <w:rPr>
          <w:rFonts w:ascii="Times New Roman" w:eastAsia="仿宋_GB2312" w:hAnsi="Times New Roman" w:cs="Times New Roman"/>
          <w:color w:val="000000" w:themeColor="text1"/>
          <w:sz w:val="32"/>
          <w:szCs w:val="32"/>
        </w:rPr>
        <w:t>和伦理委员会提供其他所需要的资料，如尸检报告或最终医学报告。</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）药物临床</w:t>
      </w:r>
      <w:r>
        <w:rPr>
          <w:rFonts w:ascii="Times New Roman" w:eastAsia="仿宋_GB2312" w:hAnsi="Times New Roman" w:cs="Times New Roman" w:hint="eastAsia"/>
          <w:color w:val="000000" w:themeColor="text1"/>
          <w:sz w:val="32"/>
          <w:szCs w:val="32"/>
        </w:rPr>
        <w:t>试验</w:t>
      </w:r>
      <w:r>
        <w:rPr>
          <w:rFonts w:ascii="Times New Roman" w:eastAsia="仿宋_GB2312" w:hAnsi="Times New Roman" w:cs="Times New Roman"/>
          <w:color w:val="000000" w:themeColor="text1"/>
          <w:sz w:val="32"/>
          <w:szCs w:val="32"/>
        </w:rPr>
        <w:t>期间</w:t>
      </w:r>
      <w:r>
        <w:rPr>
          <w:rFonts w:ascii="Times New Roman" w:eastAsia="仿宋_GB2312" w:hAnsi="Times New Roman" w:cs="Times New Roman" w:hint="eastAsia"/>
          <w:color w:val="000000" w:themeColor="text1"/>
          <w:sz w:val="32"/>
          <w:szCs w:val="32"/>
        </w:rPr>
        <w:t>发生的可疑且</w:t>
      </w:r>
      <w:r>
        <w:rPr>
          <w:rFonts w:ascii="Times New Roman" w:eastAsia="仿宋_GB2312" w:hAnsi="Times New Roman" w:cs="Times New Roman"/>
          <w:color w:val="000000" w:themeColor="text1"/>
          <w:sz w:val="32"/>
          <w:szCs w:val="32"/>
        </w:rPr>
        <w:t>非预期严重不良反应</w:t>
      </w:r>
      <w:r>
        <w:rPr>
          <w:rFonts w:ascii="Times New Roman" w:eastAsia="仿宋_GB2312" w:hAnsi="Times New Roman" w:cs="Times New Roman" w:hint="eastAsia"/>
          <w:color w:val="000000" w:themeColor="text1"/>
          <w:sz w:val="32"/>
          <w:szCs w:val="32"/>
        </w:rPr>
        <w:t>、研发期间</w:t>
      </w:r>
      <w:r>
        <w:rPr>
          <w:rFonts w:ascii="Times New Roman" w:eastAsia="仿宋_GB2312" w:hAnsi="Times New Roman" w:cs="Times New Roman"/>
          <w:color w:val="000000" w:themeColor="text1"/>
          <w:sz w:val="32"/>
          <w:szCs w:val="32"/>
        </w:rPr>
        <w:t>安全性更新报告</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申办者</w:t>
      </w:r>
      <w:r>
        <w:rPr>
          <w:rFonts w:ascii="Times New Roman" w:eastAsia="仿宋_GB2312" w:hAnsi="Times New Roman" w:cs="Times New Roman" w:hint="eastAsia"/>
          <w:color w:val="000000" w:themeColor="text1"/>
          <w:sz w:val="32"/>
          <w:szCs w:val="32"/>
        </w:rPr>
        <w:t>根据《药物</w:t>
      </w:r>
      <w:r>
        <w:rPr>
          <w:rFonts w:ascii="Times New Roman" w:eastAsia="仿宋_GB2312" w:hAnsi="Times New Roman" w:cs="Times New Roman"/>
          <w:color w:val="000000" w:themeColor="text1"/>
          <w:sz w:val="32"/>
          <w:szCs w:val="32"/>
        </w:rPr>
        <w:t>临床试验期间安全性数据快速报告的标准和</w:t>
      </w:r>
      <w:r>
        <w:rPr>
          <w:rFonts w:ascii="Times New Roman" w:eastAsia="仿宋_GB2312" w:hAnsi="Times New Roman" w:cs="Times New Roman" w:hint="eastAsia"/>
          <w:color w:val="000000" w:themeColor="text1"/>
          <w:sz w:val="32"/>
          <w:szCs w:val="32"/>
        </w:rPr>
        <w:t>程序》</w:t>
      </w:r>
      <w:r>
        <w:rPr>
          <w:rFonts w:ascii="Times New Roman" w:eastAsia="仿宋_GB2312" w:hAnsi="Times New Roman" w:cs="Times New Roman"/>
          <w:color w:val="000000" w:themeColor="text1"/>
          <w:sz w:val="32"/>
          <w:szCs w:val="32"/>
        </w:rPr>
        <w:t>中</w:t>
      </w:r>
      <w:r>
        <w:rPr>
          <w:rFonts w:ascii="Times New Roman" w:eastAsia="仿宋_GB2312" w:hAnsi="Times New Roman" w:cs="Times New Roman" w:hint="eastAsia"/>
          <w:color w:val="000000" w:themeColor="text1"/>
          <w:sz w:val="32"/>
          <w:szCs w:val="32"/>
        </w:rPr>
        <w:t>按</w:t>
      </w:r>
      <w:r>
        <w:rPr>
          <w:rFonts w:ascii="Times New Roman" w:eastAsia="仿宋_GB2312" w:hAnsi="Times New Roman" w:cs="Times New Roman"/>
          <w:color w:val="000000" w:themeColor="text1"/>
          <w:sz w:val="32"/>
          <w:szCs w:val="32"/>
        </w:rPr>
        <w:t>有关程序和规范要求</w:t>
      </w:r>
      <w:r>
        <w:rPr>
          <w:rFonts w:ascii="Times New Roman" w:eastAsia="仿宋_GB2312" w:hAnsi="Times New Roman" w:cs="Times New Roman" w:hint="eastAsia"/>
          <w:color w:val="000000" w:themeColor="text1"/>
          <w:sz w:val="32"/>
          <w:szCs w:val="32"/>
        </w:rPr>
        <w:t>向药品</w:t>
      </w:r>
      <w:r>
        <w:rPr>
          <w:rFonts w:ascii="Times New Roman" w:eastAsia="仿宋_GB2312" w:hAnsi="Times New Roman" w:cs="Times New Roman"/>
          <w:color w:val="000000" w:themeColor="text1"/>
          <w:sz w:val="32"/>
          <w:szCs w:val="32"/>
        </w:rPr>
        <w:t>审评部门、伦理委员会等</w:t>
      </w:r>
      <w:r>
        <w:rPr>
          <w:rFonts w:ascii="Times New Roman" w:eastAsia="仿宋_GB2312" w:hAnsi="Times New Roman" w:cs="Times New Roman" w:hint="eastAsia"/>
          <w:color w:val="000000" w:themeColor="text1"/>
          <w:sz w:val="32"/>
          <w:szCs w:val="32"/>
        </w:rPr>
        <w:t>进行</w:t>
      </w:r>
      <w:r>
        <w:rPr>
          <w:rFonts w:ascii="Times New Roman" w:eastAsia="仿宋_GB2312" w:hAnsi="Times New Roman" w:cs="Times New Roman"/>
          <w:color w:val="000000" w:themeColor="text1"/>
          <w:sz w:val="32"/>
          <w:szCs w:val="32"/>
        </w:rPr>
        <w:t>报告。</w:t>
      </w:r>
    </w:p>
    <w:p w:rsidR="009D311E" w:rsidRDefault="004E41AB">
      <w:pPr>
        <w:spacing w:line="572" w:lineRule="exact"/>
        <w:ind w:firstLineChars="250" w:firstLine="8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 </w:t>
      </w:r>
      <w:r>
        <w:rPr>
          <w:rFonts w:ascii="Times New Roman" w:eastAsia="仿宋_GB2312" w:hAnsi="Times New Roman" w:cs="Times New Roman"/>
          <w:color w:val="000000" w:themeColor="text1"/>
          <w:sz w:val="32"/>
          <w:szCs w:val="32"/>
        </w:rPr>
        <w:t>临床试验数据记录和报告</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）临床试验</w:t>
      </w:r>
      <w:r>
        <w:rPr>
          <w:rFonts w:ascii="Times New Roman" w:eastAsia="仿宋_GB2312" w:hAnsi="Times New Roman" w:cs="Times New Roman" w:hint="eastAsia"/>
          <w:color w:val="000000" w:themeColor="text1"/>
          <w:sz w:val="32"/>
          <w:szCs w:val="32"/>
        </w:rPr>
        <w:t>源文件</w:t>
      </w:r>
      <w:r>
        <w:rPr>
          <w:rFonts w:ascii="Times New Roman" w:eastAsia="仿宋_GB2312" w:hAnsi="Times New Roman" w:cs="Times New Roman"/>
          <w:color w:val="000000" w:themeColor="text1"/>
          <w:sz w:val="32"/>
          <w:szCs w:val="32"/>
        </w:rPr>
        <w:t>的管理符合医疗</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要求</w:t>
      </w:r>
      <w:r>
        <w:rPr>
          <w:rFonts w:ascii="Times New Roman" w:eastAsia="仿宋_GB2312" w:hAnsi="Times New Roman" w:cs="Times New Roman" w:hint="eastAsia"/>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源数据</w:t>
      </w:r>
      <w:proofErr w:type="gramEnd"/>
      <w:r>
        <w:rPr>
          <w:rFonts w:ascii="Times New Roman" w:eastAsia="仿宋_GB2312" w:hAnsi="Times New Roman" w:cs="Times New Roman" w:hint="eastAsia"/>
          <w:color w:val="000000" w:themeColor="text1"/>
          <w:sz w:val="32"/>
          <w:szCs w:val="32"/>
        </w:rPr>
        <w:t>应满足</w:t>
      </w:r>
      <w:r>
        <w:rPr>
          <w:rFonts w:ascii="Times New Roman" w:eastAsia="仿宋_GB2312" w:hAnsi="Times New Roman" w:cs="Times New Roman"/>
          <w:color w:val="000000" w:themeColor="text1"/>
          <w:sz w:val="32"/>
          <w:szCs w:val="32"/>
        </w:rPr>
        <w:t>临床试验</w:t>
      </w:r>
      <w:r>
        <w:rPr>
          <w:rFonts w:ascii="Times New Roman" w:eastAsia="仿宋_GB2312" w:hAnsi="Times New Roman" w:cs="Times New Roman" w:hint="eastAsia"/>
          <w:color w:val="000000" w:themeColor="text1"/>
          <w:sz w:val="32"/>
          <w:szCs w:val="32"/>
        </w:rPr>
        <w:t>数据质量</w:t>
      </w:r>
      <w:r>
        <w:rPr>
          <w:rFonts w:ascii="Times New Roman" w:eastAsia="仿宋_GB2312" w:hAnsi="Times New Roman" w:cs="Times New Roman"/>
          <w:color w:val="000000" w:themeColor="text1"/>
          <w:sz w:val="32"/>
          <w:szCs w:val="32"/>
        </w:rPr>
        <w:t>通用标准</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ALCOA</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）日常</w:t>
      </w:r>
      <w:r>
        <w:rPr>
          <w:rFonts w:ascii="Times New Roman" w:eastAsia="仿宋_GB2312" w:hAnsi="Times New Roman" w:cs="Times New Roman"/>
          <w:color w:val="000000" w:themeColor="text1"/>
          <w:sz w:val="32"/>
          <w:szCs w:val="32"/>
        </w:rPr>
        <w:t>诊疗已使用电子病历系统的，</w:t>
      </w:r>
      <w:r>
        <w:rPr>
          <w:rFonts w:ascii="Times New Roman" w:eastAsia="仿宋_GB2312" w:hAnsi="Times New Roman" w:cs="Times New Roman" w:hint="eastAsia"/>
          <w:color w:val="000000" w:themeColor="text1"/>
          <w:sz w:val="32"/>
          <w:szCs w:val="32"/>
        </w:rPr>
        <w:t>临床试验</w:t>
      </w:r>
      <w:r>
        <w:rPr>
          <w:rFonts w:ascii="Times New Roman" w:eastAsia="仿宋_GB2312" w:hAnsi="Times New Roman" w:cs="Times New Roman"/>
          <w:color w:val="000000" w:themeColor="text1"/>
          <w:sz w:val="32"/>
          <w:szCs w:val="32"/>
        </w:rPr>
        <w:t>应</w:t>
      </w:r>
      <w:r>
        <w:rPr>
          <w:rFonts w:ascii="Times New Roman" w:eastAsia="仿宋_GB2312" w:hAnsi="Times New Roman" w:cs="Times New Roman" w:hint="eastAsia"/>
          <w:color w:val="000000" w:themeColor="text1"/>
          <w:sz w:val="32"/>
          <w:szCs w:val="32"/>
        </w:rPr>
        <w:t>使用电</w:t>
      </w:r>
      <w:r>
        <w:rPr>
          <w:rFonts w:ascii="Times New Roman" w:eastAsia="仿宋_GB2312" w:hAnsi="Times New Roman" w:cs="Times New Roman" w:hint="eastAsia"/>
          <w:color w:val="000000" w:themeColor="text1"/>
          <w:sz w:val="32"/>
          <w:szCs w:val="32"/>
        </w:rPr>
        <w:lastRenderedPageBreak/>
        <w:t>子病历。</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以</w:t>
      </w:r>
      <w:r>
        <w:rPr>
          <w:rFonts w:ascii="Times New Roman" w:eastAsia="仿宋_GB2312" w:hAnsi="Times New Roman" w:cs="Times New Roman"/>
          <w:color w:val="000000" w:themeColor="text1"/>
          <w:sz w:val="32"/>
          <w:szCs w:val="32"/>
        </w:rPr>
        <w:t>患者为受试者的临床试验，相关医疗记录载入门诊或</w:t>
      </w:r>
      <w:r>
        <w:rPr>
          <w:rFonts w:ascii="Times New Roman" w:eastAsia="仿宋_GB2312" w:hAnsi="Times New Roman" w:cs="Times New Roman"/>
          <w:color w:val="000000" w:themeColor="text1"/>
          <w:sz w:val="32"/>
          <w:szCs w:val="32"/>
        </w:rPr>
        <w:t>住院病历。病历中记录受试者知情同意的具体时间和人员</w:t>
      </w:r>
      <w:r>
        <w:rPr>
          <w:rFonts w:ascii="Times New Roman" w:eastAsia="仿宋_GB2312" w:hAnsi="Times New Roman" w:cs="Times New Roman" w:hint="eastAsia"/>
          <w:color w:val="000000" w:themeColor="text1"/>
          <w:sz w:val="32"/>
          <w:szCs w:val="32"/>
        </w:rPr>
        <w:t>。</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w:t>
      </w:r>
      <w:proofErr w:type="gramStart"/>
      <w:r>
        <w:rPr>
          <w:rFonts w:ascii="Times New Roman" w:eastAsia="仿宋_GB2312" w:hAnsi="Times New Roman" w:cs="Times New Roman"/>
          <w:color w:val="000000" w:themeColor="text1"/>
          <w:sz w:val="32"/>
          <w:szCs w:val="32"/>
        </w:rPr>
        <w:t>源数据</w:t>
      </w:r>
      <w:proofErr w:type="gramEnd"/>
      <w:r>
        <w:rPr>
          <w:rFonts w:ascii="Times New Roman" w:eastAsia="仿宋_GB2312" w:hAnsi="Times New Roman" w:cs="Times New Roman"/>
          <w:color w:val="000000" w:themeColor="text1"/>
          <w:sz w:val="32"/>
          <w:szCs w:val="32"/>
        </w:rPr>
        <w:t>和病例报告表中的数据修改留痕，不掩盖初始数据，保留修改轨迹，注明修改理由，修改者签名并注明日期。</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）病例报告表的填写和修改符合申办者提供的指南，病例报告表及其他报告中的数据准确、完整，清晰、及时，与源文件</w:t>
      </w:r>
      <w:r>
        <w:rPr>
          <w:rFonts w:ascii="Times New Roman" w:eastAsia="仿宋_GB2312" w:hAnsi="Times New Roman" w:cs="Times New Roman"/>
          <w:color w:val="000000" w:themeColor="text1"/>
          <w:sz w:val="32"/>
          <w:szCs w:val="32"/>
        </w:rPr>
        <w:t>一致</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）病例报告表、总结报告（或数据库）中记录的</w:t>
      </w:r>
      <w:r>
        <w:rPr>
          <w:rFonts w:ascii="Times New Roman" w:eastAsia="仿宋_GB2312" w:hAnsi="Times New Roman" w:cs="Times New Roman"/>
          <w:color w:val="000000" w:themeColor="text1"/>
          <w:sz w:val="32"/>
          <w:szCs w:val="32"/>
        </w:rPr>
        <w:t>AE</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数据</w:t>
      </w:r>
      <w:r>
        <w:rPr>
          <w:rFonts w:ascii="Times New Roman" w:eastAsia="仿宋_GB2312" w:hAnsi="Times New Roman" w:cs="Times New Roman" w:hint="eastAsia"/>
          <w:color w:val="000000" w:themeColor="text1"/>
          <w:sz w:val="32"/>
          <w:szCs w:val="32"/>
        </w:rPr>
        <w:t>与</w:t>
      </w:r>
      <w:proofErr w:type="gramStart"/>
      <w:r>
        <w:rPr>
          <w:rFonts w:ascii="Times New Roman" w:eastAsia="仿宋_GB2312" w:hAnsi="Times New Roman" w:cs="Times New Roman" w:hint="eastAsia"/>
          <w:color w:val="000000" w:themeColor="text1"/>
          <w:sz w:val="32"/>
          <w:szCs w:val="32"/>
        </w:rPr>
        <w:t>源数据</w:t>
      </w:r>
      <w:proofErr w:type="gramEnd"/>
      <w:r>
        <w:rPr>
          <w:rFonts w:ascii="Times New Roman" w:eastAsia="仿宋_GB2312" w:hAnsi="Times New Roman" w:cs="Times New Roman" w:hint="eastAsia"/>
          <w:color w:val="000000" w:themeColor="text1"/>
          <w:sz w:val="32"/>
          <w:szCs w:val="32"/>
        </w:rPr>
        <w:t>一致，无</w:t>
      </w:r>
      <w:r>
        <w:rPr>
          <w:rFonts w:ascii="Times New Roman" w:eastAsia="仿宋_GB2312" w:hAnsi="Times New Roman" w:cs="Times New Roman"/>
          <w:color w:val="000000" w:themeColor="text1"/>
          <w:sz w:val="32"/>
          <w:szCs w:val="32"/>
        </w:rPr>
        <w:t>漏记、误判</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误记。</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）病例报告表、总结报告（或数据库）</w:t>
      </w:r>
      <w:r>
        <w:rPr>
          <w:rFonts w:ascii="Times New Roman" w:eastAsia="仿宋_GB2312" w:hAnsi="Times New Roman" w:cs="Times New Roman" w:hint="eastAsia"/>
          <w:color w:val="000000" w:themeColor="text1"/>
          <w:sz w:val="32"/>
          <w:szCs w:val="32"/>
        </w:rPr>
        <w:t>中的</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数据</w:t>
      </w:r>
      <w:r>
        <w:rPr>
          <w:rFonts w:ascii="Times New Roman" w:eastAsia="仿宋_GB2312" w:hAnsi="Times New Roman" w:cs="Times New Roman" w:hint="eastAsia"/>
          <w:color w:val="000000" w:themeColor="text1"/>
          <w:sz w:val="32"/>
          <w:szCs w:val="32"/>
        </w:rPr>
        <w:t>记录和报告情况</w:t>
      </w:r>
      <w:r>
        <w:rPr>
          <w:rFonts w:ascii="Times New Roman" w:eastAsia="仿宋_GB2312" w:hAnsi="Times New Roman" w:cs="Times New Roman"/>
          <w:color w:val="000000" w:themeColor="text1"/>
          <w:sz w:val="32"/>
          <w:szCs w:val="32"/>
        </w:rPr>
        <w:t>与</w:t>
      </w:r>
      <w:proofErr w:type="gramStart"/>
      <w:r>
        <w:rPr>
          <w:rFonts w:ascii="Times New Roman" w:eastAsia="仿宋_GB2312" w:hAnsi="Times New Roman" w:cs="Times New Roman" w:hint="eastAsia"/>
          <w:color w:val="000000" w:themeColor="text1"/>
          <w:sz w:val="32"/>
          <w:szCs w:val="32"/>
        </w:rPr>
        <w:t>源数据</w:t>
      </w:r>
      <w:proofErr w:type="gramEnd"/>
      <w:r>
        <w:rPr>
          <w:rFonts w:ascii="Times New Roman" w:eastAsia="仿宋_GB2312" w:hAnsi="Times New Roman" w:cs="Times New Roman" w:hint="eastAsia"/>
          <w:color w:val="000000" w:themeColor="text1"/>
          <w:sz w:val="32"/>
          <w:szCs w:val="32"/>
        </w:rPr>
        <w:t>一致，无</w:t>
      </w:r>
      <w:r>
        <w:rPr>
          <w:rFonts w:ascii="Times New Roman" w:eastAsia="仿宋_GB2312" w:hAnsi="Times New Roman" w:cs="Times New Roman"/>
          <w:color w:val="000000" w:themeColor="text1"/>
          <w:sz w:val="32"/>
          <w:szCs w:val="32"/>
        </w:rPr>
        <w:t>漏记、误判</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误记。</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color w:val="000000" w:themeColor="text1"/>
          <w:sz w:val="32"/>
          <w:szCs w:val="32"/>
        </w:rPr>
        <w:t>）申报资料的总结报告中筛选、入选和完成临床试验的例数与</w:t>
      </w:r>
      <w:r>
        <w:rPr>
          <w:rFonts w:ascii="Times New Roman" w:eastAsia="仿宋_GB2312" w:hAnsi="Times New Roman" w:cs="Times New Roman" w:hint="eastAsia"/>
          <w:color w:val="000000" w:themeColor="text1"/>
          <w:sz w:val="32"/>
          <w:szCs w:val="32"/>
        </w:rPr>
        <w:t>实际例数</w:t>
      </w:r>
      <w:r>
        <w:rPr>
          <w:rFonts w:ascii="Times New Roman" w:eastAsia="仿宋_GB2312" w:hAnsi="Times New Roman" w:cs="Times New Roman"/>
          <w:color w:val="000000" w:themeColor="text1"/>
          <w:sz w:val="32"/>
          <w:szCs w:val="32"/>
        </w:rPr>
        <w:t>一致。</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受试者</w:t>
      </w:r>
      <w:r>
        <w:rPr>
          <w:rFonts w:ascii="Times New Roman" w:eastAsia="仿宋_GB2312" w:hAnsi="Times New Roman" w:cs="Times New Roman"/>
          <w:color w:val="000000" w:themeColor="text1"/>
          <w:sz w:val="32"/>
          <w:szCs w:val="32"/>
        </w:rPr>
        <w:t>筛选失败、脱落、中止、退出</w:t>
      </w:r>
      <w:r>
        <w:rPr>
          <w:rFonts w:ascii="Times New Roman" w:eastAsia="仿宋_GB2312" w:hAnsi="Times New Roman" w:cs="Times New Roman" w:hint="eastAsia"/>
          <w:color w:val="000000" w:themeColor="text1"/>
          <w:sz w:val="32"/>
          <w:szCs w:val="32"/>
        </w:rPr>
        <w:t>和剔除按照临床试验方案的要求执行，记录实际情况并保存原始记录，证据链完整，与总结报告一致。</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源数据</w:t>
      </w:r>
      <w:r>
        <w:rPr>
          <w:rFonts w:ascii="Times New Roman" w:eastAsia="仿宋_GB2312" w:hAnsi="Times New Roman" w:cs="Times New Roman"/>
          <w:color w:val="000000" w:themeColor="text1"/>
          <w:sz w:val="32"/>
          <w:szCs w:val="32"/>
        </w:rPr>
        <w:t>、病例报告表、数据库及申报资料之间</w:t>
      </w:r>
      <w:r>
        <w:rPr>
          <w:rFonts w:ascii="Times New Roman" w:eastAsia="仿宋_GB2312" w:hAnsi="Times New Roman" w:cs="Times New Roman" w:hint="eastAsia"/>
          <w:color w:val="000000" w:themeColor="text1"/>
          <w:sz w:val="32"/>
          <w:szCs w:val="32"/>
        </w:rPr>
        <w:t>数据</w:t>
      </w:r>
      <w:r>
        <w:rPr>
          <w:rFonts w:ascii="Times New Roman" w:eastAsia="仿宋_GB2312" w:hAnsi="Times New Roman" w:cs="Times New Roman"/>
          <w:color w:val="000000" w:themeColor="text1"/>
          <w:sz w:val="32"/>
          <w:szCs w:val="32"/>
        </w:rPr>
        <w:t>一致。</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临床试验数据溯源</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）病例报告表中入组、知情同意、病史或伴随疾病、访视、</w:t>
      </w:r>
      <w:r>
        <w:rPr>
          <w:rFonts w:ascii="Times New Roman" w:eastAsia="仿宋_GB2312" w:hAnsi="Times New Roman" w:cs="Times New Roman" w:hint="eastAsia"/>
          <w:color w:val="000000" w:themeColor="text1"/>
          <w:sz w:val="32"/>
          <w:szCs w:val="32"/>
        </w:rPr>
        <w:t>给药记录</w:t>
      </w:r>
      <w:r>
        <w:rPr>
          <w:rFonts w:ascii="Times New Roman" w:eastAsia="仿宋_GB2312" w:hAnsi="Times New Roman" w:cs="Times New Roman"/>
          <w:color w:val="000000" w:themeColor="text1"/>
          <w:sz w:val="32"/>
          <w:szCs w:val="32"/>
        </w:rPr>
        <w:t>、病情记录等信息与试验</w:t>
      </w:r>
      <w:proofErr w:type="gramStart"/>
      <w:r>
        <w:rPr>
          <w:rFonts w:ascii="Times New Roman" w:eastAsia="仿宋_GB2312" w:hAnsi="Times New Roman" w:cs="Times New Roman" w:hint="eastAsia"/>
          <w:color w:val="000000" w:themeColor="text1"/>
          <w:sz w:val="32"/>
          <w:szCs w:val="32"/>
        </w:rPr>
        <w:t>源数据</w:t>
      </w:r>
      <w:proofErr w:type="gramEnd"/>
      <w:r>
        <w:rPr>
          <w:rFonts w:ascii="Times New Roman" w:eastAsia="仿宋_GB2312" w:hAnsi="Times New Roman" w:cs="Times New Roman"/>
          <w:color w:val="000000" w:themeColor="text1"/>
          <w:sz w:val="32"/>
          <w:szCs w:val="32"/>
        </w:rPr>
        <w:t>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HIS</w:t>
      </w:r>
      <w:r>
        <w:rPr>
          <w:rFonts w:ascii="Times New Roman" w:eastAsia="仿宋_GB2312" w:hAnsi="Times New Roman" w:cs="Times New Roman"/>
          <w:color w:val="000000" w:themeColor="text1"/>
          <w:sz w:val="32"/>
          <w:szCs w:val="32"/>
        </w:rPr>
        <w:t>系统一</w:t>
      </w:r>
      <w:r>
        <w:rPr>
          <w:rFonts w:ascii="Times New Roman" w:eastAsia="仿宋_GB2312" w:hAnsi="Times New Roman" w:cs="Times New Roman"/>
          <w:color w:val="000000" w:themeColor="text1"/>
          <w:sz w:val="32"/>
          <w:szCs w:val="32"/>
        </w:rPr>
        <w:lastRenderedPageBreak/>
        <w:t>致。</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总结</w:t>
      </w:r>
      <w:r>
        <w:rPr>
          <w:rFonts w:ascii="Times New Roman" w:eastAsia="仿宋_GB2312" w:hAnsi="Times New Roman" w:cs="Times New Roman"/>
          <w:color w:val="000000" w:themeColor="text1"/>
          <w:sz w:val="32"/>
          <w:szCs w:val="32"/>
        </w:rPr>
        <w:t>报告</w:t>
      </w:r>
      <w:r>
        <w:rPr>
          <w:rFonts w:ascii="Times New Roman" w:eastAsia="仿宋_GB2312" w:hAnsi="Times New Roman" w:cs="Times New Roman" w:hint="eastAsia"/>
          <w:color w:val="000000" w:themeColor="text1"/>
          <w:sz w:val="32"/>
          <w:szCs w:val="32"/>
        </w:rPr>
        <w:t>中</w:t>
      </w:r>
      <w:r>
        <w:rPr>
          <w:rFonts w:ascii="Times New Roman" w:eastAsia="仿宋_GB2312" w:hAnsi="Times New Roman" w:cs="Times New Roman"/>
          <w:color w:val="000000" w:themeColor="text1"/>
          <w:sz w:val="32"/>
          <w:szCs w:val="32"/>
        </w:rPr>
        <w:t>记录的合并用药</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合并治疗</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可在</w:t>
      </w:r>
      <w:r>
        <w:rPr>
          <w:rFonts w:ascii="Times New Roman" w:eastAsia="仿宋_GB2312" w:hAnsi="Times New Roman" w:cs="Times New Roman" w:hint="eastAsia"/>
          <w:color w:val="000000" w:themeColor="text1"/>
          <w:sz w:val="32"/>
          <w:szCs w:val="32"/>
        </w:rPr>
        <w:t>HIS</w:t>
      </w:r>
      <w:r>
        <w:rPr>
          <w:rFonts w:ascii="Times New Roman" w:eastAsia="仿宋_GB2312" w:hAnsi="Times New Roman" w:cs="Times New Roman" w:hint="eastAsia"/>
          <w:color w:val="000000" w:themeColor="text1"/>
          <w:sz w:val="32"/>
          <w:szCs w:val="32"/>
        </w:rPr>
        <w:t>系统、</w:t>
      </w:r>
      <w:r>
        <w:rPr>
          <w:rFonts w:ascii="Times New Roman" w:eastAsia="仿宋_GB2312" w:hAnsi="Times New Roman" w:cs="Times New Roman"/>
          <w:color w:val="000000" w:themeColor="text1"/>
          <w:sz w:val="32"/>
          <w:szCs w:val="32"/>
        </w:rPr>
        <w:t>医疗</w:t>
      </w:r>
      <w:r>
        <w:rPr>
          <w:rFonts w:ascii="Times New Roman" w:eastAsia="仿宋_GB2312" w:hAnsi="Times New Roman" w:cs="Times New Roman" w:hint="eastAsia"/>
          <w:color w:val="000000" w:themeColor="text1"/>
          <w:sz w:val="32"/>
          <w:szCs w:val="32"/>
        </w:rPr>
        <w:t>记录</w:t>
      </w:r>
      <w:r>
        <w:rPr>
          <w:rFonts w:ascii="Times New Roman" w:eastAsia="仿宋_GB2312" w:hAnsi="Times New Roman" w:cs="Times New Roman"/>
          <w:color w:val="000000" w:themeColor="text1"/>
          <w:sz w:val="32"/>
          <w:szCs w:val="32"/>
        </w:rPr>
        <w:t>中</w:t>
      </w:r>
      <w:r>
        <w:rPr>
          <w:rFonts w:ascii="Times New Roman" w:eastAsia="仿宋_GB2312" w:hAnsi="Times New Roman" w:cs="Times New Roman" w:hint="eastAsia"/>
          <w:color w:val="000000" w:themeColor="text1"/>
          <w:sz w:val="32"/>
          <w:szCs w:val="32"/>
        </w:rPr>
        <w:t>或</w:t>
      </w:r>
      <w:r>
        <w:rPr>
          <w:rFonts w:ascii="Times New Roman" w:eastAsia="仿宋_GB2312" w:hAnsi="Times New Roman" w:cs="Times New Roman"/>
          <w:color w:val="000000" w:themeColor="text1"/>
          <w:sz w:val="32"/>
          <w:szCs w:val="32"/>
        </w:rPr>
        <w:t>受试者日记卡中溯源。</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）病例报告表中的</w:t>
      </w:r>
      <w:r>
        <w:rPr>
          <w:rFonts w:ascii="Times New Roman" w:eastAsia="仿宋_GB2312" w:hAnsi="Times New Roman" w:cs="Times New Roman" w:hint="eastAsia"/>
          <w:color w:val="000000" w:themeColor="text1"/>
          <w:sz w:val="32"/>
          <w:szCs w:val="32"/>
        </w:rPr>
        <w:t>来自</w:t>
      </w:r>
      <w:r>
        <w:rPr>
          <w:rFonts w:ascii="Times New Roman" w:eastAsia="仿宋_GB2312" w:hAnsi="Times New Roman" w:cs="Times New Roman"/>
          <w:color w:val="000000" w:themeColor="text1"/>
          <w:sz w:val="32"/>
          <w:szCs w:val="32"/>
        </w:rPr>
        <w:t>临床试验机构检验科、影像科、心电图室、内镜室等</w:t>
      </w:r>
      <w:r>
        <w:rPr>
          <w:rFonts w:ascii="Times New Roman" w:eastAsia="仿宋_GB2312" w:hAnsi="Times New Roman" w:cs="Times New Roman" w:hint="eastAsia"/>
          <w:color w:val="000000" w:themeColor="text1"/>
          <w:sz w:val="32"/>
          <w:szCs w:val="32"/>
        </w:rPr>
        <w:t>的医学检查</w:t>
      </w:r>
      <w:r>
        <w:rPr>
          <w:rFonts w:ascii="Times New Roman" w:eastAsia="仿宋_GB2312" w:hAnsi="Times New Roman" w:cs="Times New Roman"/>
          <w:color w:val="000000" w:themeColor="text1"/>
          <w:sz w:val="32"/>
          <w:szCs w:val="32"/>
        </w:rPr>
        <w:t>数据可在</w:t>
      </w:r>
      <w:r>
        <w:rPr>
          <w:rFonts w:ascii="Times New Roman" w:eastAsia="仿宋_GB2312" w:hAnsi="Times New Roman" w:cs="Times New Roman" w:hint="eastAsia"/>
          <w:color w:val="000000" w:themeColor="text1"/>
          <w:sz w:val="32"/>
          <w:szCs w:val="32"/>
        </w:rPr>
        <w:t>该机构</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hint="eastAsia"/>
          <w:color w:val="000000" w:themeColor="text1"/>
          <w:sz w:val="32"/>
          <w:szCs w:val="32"/>
        </w:rPr>
        <w:t>LIS</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PACS</w:t>
      </w:r>
      <w:r>
        <w:rPr>
          <w:rFonts w:ascii="Times New Roman" w:eastAsia="仿宋_GB2312" w:hAnsi="Times New Roman" w:cs="Times New Roman" w:hint="eastAsia"/>
          <w:color w:val="000000" w:themeColor="text1"/>
          <w:sz w:val="32"/>
          <w:szCs w:val="32"/>
        </w:rPr>
        <w:t>等信息</w:t>
      </w:r>
      <w:r>
        <w:rPr>
          <w:rFonts w:ascii="Times New Roman" w:eastAsia="仿宋_GB2312" w:hAnsi="Times New Roman" w:cs="Times New Roman"/>
          <w:color w:val="000000" w:themeColor="text1"/>
          <w:sz w:val="32"/>
          <w:szCs w:val="32"/>
        </w:rPr>
        <w:t>系统</w:t>
      </w:r>
      <w:r>
        <w:rPr>
          <w:rFonts w:ascii="Times New Roman" w:eastAsia="仿宋_GB2312" w:hAnsi="Times New Roman" w:cs="Times New Roman" w:hint="eastAsia"/>
          <w:color w:val="000000" w:themeColor="text1"/>
          <w:sz w:val="32"/>
          <w:szCs w:val="32"/>
        </w:rPr>
        <w:t>或</w:t>
      </w:r>
      <w:r>
        <w:rPr>
          <w:rFonts w:ascii="Times New Roman" w:eastAsia="仿宋_GB2312" w:hAnsi="Times New Roman" w:cs="Times New Roman"/>
          <w:color w:val="000000" w:themeColor="text1"/>
          <w:sz w:val="32"/>
          <w:szCs w:val="32"/>
        </w:rPr>
        <w:t>仪器设备中溯源。</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）经研究者</w:t>
      </w:r>
      <w:r>
        <w:rPr>
          <w:rFonts w:ascii="Times New Roman" w:eastAsia="仿宋_GB2312" w:hAnsi="Times New Roman" w:cs="Times New Roman"/>
          <w:color w:val="000000" w:themeColor="text1"/>
          <w:sz w:val="32"/>
          <w:szCs w:val="32"/>
        </w:rPr>
        <w:t>评估得出的</w:t>
      </w:r>
      <w:r>
        <w:rPr>
          <w:rFonts w:ascii="Times New Roman" w:eastAsia="仿宋_GB2312" w:hAnsi="Times New Roman" w:cs="Times New Roman" w:hint="eastAsia"/>
          <w:color w:val="000000" w:themeColor="text1"/>
          <w:sz w:val="32"/>
          <w:szCs w:val="32"/>
        </w:rPr>
        <w:t>疗效和</w:t>
      </w:r>
      <w:r>
        <w:rPr>
          <w:rFonts w:ascii="Times New Roman" w:eastAsia="仿宋_GB2312" w:hAnsi="Times New Roman" w:cs="Times New Roman"/>
          <w:color w:val="000000" w:themeColor="text1"/>
          <w:sz w:val="32"/>
          <w:szCs w:val="32"/>
        </w:rPr>
        <w:t>安全性数据溯源至</w:t>
      </w:r>
      <w:r>
        <w:rPr>
          <w:rFonts w:ascii="Times New Roman" w:eastAsia="仿宋_GB2312" w:hAnsi="Times New Roman" w:cs="Times New Roman" w:hint="eastAsia"/>
          <w:color w:val="000000" w:themeColor="text1"/>
          <w:sz w:val="32"/>
          <w:szCs w:val="32"/>
        </w:rPr>
        <w:t>评估人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评估</w:t>
      </w:r>
      <w:r>
        <w:rPr>
          <w:rFonts w:ascii="Times New Roman" w:eastAsia="仿宋_GB2312" w:hAnsi="Times New Roman" w:cs="Times New Roman"/>
          <w:color w:val="000000" w:themeColor="text1"/>
          <w:sz w:val="32"/>
          <w:szCs w:val="32"/>
        </w:rPr>
        <w:t>时间、</w:t>
      </w:r>
      <w:r>
        <w:rPr>
          <w:rFonts w:ascii="Times New Roman" w:eastAsia="仿宋_GB2312" w:hAnsi="Times New Roman" w:cs="Times New Roman" w:hint="eastAsia"/>
          <w:color w:val="000000" w:themeColor="text1"/>
          <w:sz w:val="32"/>
          <w:szCs w:val="32"/>
        </w:rPr>
        <w:t>原始评估</w:t>
      </w:r>
      <w:r>
        <w:rPr>
          <w:rFonts w:ascii="Times New Roman" w:eastAsia="仿宋_GB2312" w:hAnsi="Times New Roman" w:cs="Times New Roman"/>
          <w:color w:val="000000" w:themeColor="text1"/>
          <w:sz w:val="32"/>
          <w:szCs w:val="32"/>
        </w:rPr>
        <w:t>结果</w:t>
      </w:r>
      <w:r>
        <w:rPr>
          <w:rFonts w:ascii="Times New Roman" w:eastAsia="仿宋_GB2312" w:hAnsi="Times New Roman" w:cs="Times New Roman" w:hint="eastAsia"/>
          <w:color w:val="000000" w:themeColor="text1"/>
          <w:sz w:val="32"/>
          <w:szCs w:val="32"/>
        </w:rPr>
        <w:t>及其</w:t>
      </w:r>
      <w:r>
        <w:rPr>
          <w:rFonts w:ascii="Times New Roman" w:eastAsia="仿宋_GB2312" w:hAnsi="Times New Roman" w:cs="Times New Roman"/>
          <w:color w:val="000000" w:themeColor="text1"/>
          <w:sz w:val="32"/>
          <w:szCs w:val="32"/>
        </w:rPr>
        <w:t>修改过程</w:t>
      </w:r>
      <w:r>
        <w:rPr>
          <w:rFonts w:ascii="Times New Roman" w:eastAsia="仿宋_GB2312" w:hAnsi="Times New Roman" w:cs="Times New Roman" w:hint="eastAsia"/>
          <w:color w:val="000000" w:themeColor="text1"/>
          <w:sz w:val="32"/>
          <w:szCs w:val="32"/>
        </w:rPr>
        <w:t>。</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）以</w:t>
      </w:r>
      <w:r>
        <w:rPr>
          <w:rFonts w:ascii="Times New Roman" w:eastAsia="仿宋_GB2312" w:hAnsi="Times New Roman" w:cs="Times New Roman"/>
          <w:color w:val="000000" w:themeColor="text1"/>
          <w:sz w:val="32"/>
          <w:szCs w:val="32"/>
        </w:rPr>
        <w:t>受试者</w:t>
      </w:r>
      <w:r>
        <w:rPr>
          <w:rFonts w:ascii="Times New Roman" w:eastAsia="仿宋_GB2312" w:hAnsi="Times New Roman" w:cs="Times New Roman" w:hint="eastAsia"/>
          <w:color w:val="000000" w:themeColor="text1"/>
          <w:sz w:val="32"/>
          <w:szCs w:val="32"/>
        </w:rPr>
        <w:t>自评</w:t>
      </w:r>
      <w:r>
        <w:rPr>
          <w:rFonts w:ascii="Times New Roman" w:eastAsia="仿宋_GB2312" w:hAnsi="Times New Roman" w:cs="Times New Roman"/>
          <w:color w:val="000000" w:themeColor="text1"/>
          <w:sz w:val="32"/>
          <w:szCs w:val="32"/>
        </w:rPr>
        <w:t>结果作为疗效和安全性数据结果的溯源至</w:t>
      </w:r>
      <w:r>
        <w:rPr>
          <w:rFonts w:ascii="Times New Roman" w:eastAsia="仿宋_GB2312" w:hAnsi="Times New Roman" w:cs="Times New Roman" w:hint="eastAsia"/>
          <w:color w:val="000000" w:themeColor="text1"/>
          <w:sz w:val="32"/>
          <w:szCs w:val="32"/>
        </w:rPr>
        <w:t>有受试者署名</w:t>
      </w:r>
      <w:r>
        <w:rPr>
          <w:rFonts w:ascii="Times New Roman" w:eastAsia="仿宋_GB2312" w:hAnsi="Times New Roman" w:cs="Times New Roman"/>
          <w:color w:val="000000" w:themeColor="text1"/>
          <w:sz w:val="32"/>
          <w:szCs w:val="32"/>
        </w:rPr>
        <w:t>确认的原始评估</w:t>
      </w:r>
      <w:r>
        <w:rPr>
          <w:rFonts w:ascii="Times New Roman" w:eastAsia="仿宋_GB2312" w:hAnsi="Times New Roman" w:cs="Times New Roman" w:hint="eastAsia"/>
          <w:color w:val="000000" w:themeColor="text1"/>
          <w:sz w:val="32"/>
          <w:szCs w:val="32"/>
        </w:rPr>
        <w:t>记录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如</w:t>
      </w:r>
      <w:r>
        <w:rPr>
          <w:rFonts w:ascii="Times New Roman" w:eastAsia="仿宋_GB2312" w:hAnsi="Times New Roman" w:cs="Times New Roman"/>
          <w:color w:val="000000" w:themeColor="text1"/>
          <w:sz w:val="32"/>
          <w:szCs w:val="32"/>
        </w:rPr>
        <w:t>受试者日记卡、</w:t>
      </w:r>
      <w:r>
        <w:rPr>
          <w:rFonts w:ascii="Times New Roman" w:eastAsia="仿宋_GB2312" w:hAnsi="Times New Roman" w:cs="Times New Roman" w:hint="eastAsia"/>
          <w:color w:val="000000" w:themeColor="text1"/>
          <w:sz w:val="32"/>
          <w:szCs w:val="32"/>
        </w:rPr>
        <w:t>受试者</w:t>
      </w:r>
      <w:r>
        <w:rPr>
          <w:rFonts w:ascii="Times New Roman" w:eastAsia="仿宋_GB2312" w:hAnsi="Times New Roman" w:cs="Times New Roman"/>
          <w:color w:val="000000" w:themeColor="text1"/>
          <w:sz w:val="32"/>
          <w:szCs w:val="32"/>
        </w:rPr>
        <w:t>自评报告等）</w:t>
      </w:r>
      <w:r>
        <w:rPr>
          <w:rFonts w:ascii="Times New Roman" w:eastAsia="仿宋_GB2312" w:hAnsi="Times New Roman" w:cs="Times New Roman" w:hint="eastAsia"/>
          <w:color w:val="000000" w:themeColor="text1"/>
          <w:sz w:val="32"/>
          <w:szCs w:val="32"/>
        </w:rPr>
        <w:t>。</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hint="eastAsia"/>
          <w:color w:val="000000" w:themeColor="text1"/>
          <w:sz w:val="32"/>
          <w:szCs w:val="32"/>
        </w:rPr>
        <w:t>）申报资料中的受试者编号、给药周期、给药顺序、制剂种类等信息与</w:t>
      </w:r>
      <w:proofErr w:type="gramStart"/>
      <w:r>
        <w:rPr>
          <w:rFonts w:ascii="Times New Roman" w:eastAsia="仿宋_GB2312" w:hAnsi="Times New Roman" w:cs="Times New Roman" w:hint="eastAsia"/>
          <w:color w:val="000000" w:themeColor="text1"/>
          <w:sz w:val="32"/>
          <w:szCs w:val="32"/>
        </w:rPr>
        <w:t>源</w:t>
      </w:r>
      <w:r>
        <w:rPr>
          <w:rFonts w:ascii="Times New Roman" w:eastAsia="仿宋_GB2312" w:hAnsi="Times New Roman" w:cs="Times New Roman"/>
          <w:color w:val="000000" w:themeColor="text1"/>
          <w:sz w:val="32"/>
          <w:szCs w:val="32"/>
        </w:rPr>
        <w:t>数据</w:t>
      </w:r>
      <w:proofErr w:type="gramEnd"/>
      <w:r>
        <w:rPr>
          <w:rFonts w:ascii="Times New Roman" w:eastAsia="仿宋_GB2312" w:hAnsi="Times New Roman" w:cs="Times New Roman"/>
          <w:color w:val="000000" w:themeColor="text1"/>
          <w:sz w:val="32"/>
          <w:szCs w:val="32"/>
        </w:rPr>
        <w:t>之间</w:t>
      </w:r>
      <w:r>
        <w:rPr>
          <w:rFonts w:ascii="Times New Roman" w:eastAsia="仿宋_GB2312" w:hAnsi="Times New Roman" w:cs="Times New Roman" w:hint="eastAsia"/>
          <w:color w:val="000000" w:themeColor="text1"/>
          <w:sz w:val="32"/>
          <w:szCs w:val="32"/>
        </w:rPr>
        <w:t>一致。</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（四）试验用药品管理</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具有</w:t>
      </w:r>
      <w:r>
        <w:rPr>
          <w:rFonts w:ascii="Times New Roman" w:eastAsia="仿宋_GB2312" w:hAnsi="Times New Roman" w:cs="Times New Roman"/>
          <w:color w:val="000000" w:themeColor="text1"/>
          <w:sz w:val="32"/>
          <w:szCs w:val="32"/>
        </w:rPr>
        <w:t>试验用药品的来源证明、检验报告和在符合</w:t>
      </w:r>
      <w:r>
        <w:rPr>
          <w:rFonts w:ascii="Times New Roman" w:eastAsia="仿宋_GB2312" w:hAnsi="Times New Roman" w:cs="Times New Roman"/>
          <w:color w:val="000000" w:themeColor="text1"/>
          <w:sz w:val="32"/>
          <w:szCs w:val="32"/>
        </w:rPr>
        <w:t>G</w:t>
      </w:r>
      <w:r>
        <w:rPr>
          <w:rFonts w:ascii="Times New Roman" w:eastAsia="仿宋_GB2312" w:hAnsi="Times New Roman" w:cs="Times New Roman"/>
          <w:color w:val="000000" w:themeColor="text1"/>
          <w:sz w:val="32"/>
          <w:szCs w:val="32"/>
        </w:rPr>
        <w:t>MP</w:t>
      </w:r>
      <w:r>
        <w:rPr>
          <w:rFonts w:ascii="Times New Roman" w:eastAsia="仿宋_GB2312" w:hAnsi="Times New Roman" w:cs="Times New Roman"/>
          <w:color w:val="000000" w:themeColor="text1"/>
          <w:sz w:val="32"/>
          <w:szCs w:val="32"/>
        </w:rPr>
        <w:t>条件下生产的证明文件。</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研究者和临床试验机构指派有资格的药师或其他人员管理试验用药品。</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试验用药品的接收、贮存、分发、使用、回收、退还及未使用</w:t>
      </w:r>
      <w:r>
        <w:rPr>
          <w:rFonts w:ascii="Times New Roman" w:eastAsia="仿宋_GB2312" w:hAnsi="Times New Roman" w:cs="Times New Roman" w:hint="eastAsia"/>
          <w:color w:val="000000" w:themeColor="text1"/>
          <w:sz w:val="32"/>
          <w:szCs w:val="32"/>
        </w:rPr>
        <w:t>药品</w:t>
      </w:r>
      <w:r>
        <w:rPr>
          <w:rFonts w:ascii="Times New Roman" w:eastAsia="仿宋_GB2312" w:hAnsi="Times New Roman" w:cs="Times New Roman"/>
          <w:color w:val="000000" w:themeColor="text1"/>
          <w:sz w:val="32"/>
          <w:szCs w:val="32"/>
        </w:rPr>
        <w:t>的处置</w:t>
      </w:r>
      <w:r>
        <w:rPr>
          <w:rFonts w:ascii="Times New Roman" w:eastAsia="仿宋_GB2312" w:hAnsi="Times New Roman" w:cs="Times New Roman" w:hint="eastAsia"/>
          <w:color w:val="000000" w:themeColor="text1"/>
          <w:sz w:val="32"/>
          <w:szCs w:val="32"/>
        </w:rPr>
        <w:t>（如授权销毁）</w:t>
      </w:r>
      <w:r>
        <w:rPr>
          <w:rFonts w:ascii="Times New Roman" w:eastAsia="仿宋_GB2312" w:hAnsi="Times New Roman" w:cs="Times New Roman"/>
          <w:color w:val="000000" w:themeColor="text1"/>
          <w:sz w:val="32"/>
          <w:szCs w:val="32"/>
        </w:rPr>
        <w:t>等环节</w:t>
      </w:r>
      <w:r>
        <w:rPr>
          <w:rFonts w:ascii="Times New Roman" w:eastAsia="仿宋_GB2312" w:hAnsi="Times New Roman" w:cs="Times New Roman" w:hint="eastAsia"/>
          <w:color w:val="000000" w:themeColor="text1"/>
          <w:sz w:val="32"/>
          <w:szCs w:val="32"/>
        </w:rPr>
        <w:t>留</w:t>
      </w:r>
      <w:r>
        <w:rPr>
          <w:rFonts w:ascii="Times New Roman" w:eastAsia="仿宋_GB2312" w:hAnsi="Times New Roman" w:cs="Times New Roman"/>
          <w:color w:val="000000" w:themeColor="text1"/>
          <w:sz w:val="32"/>
          <w:szCs w:val="32"/>
        </w:rPr>
        <w:t>有记录。</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试验用药品运输和储存过程中的条件符合方案要求。</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试验用药品的使用数量、剩余数量和其他情况（如丢失</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lastRenderedPageBreak/>
        <w:t>授权销毁等）与申办者提供的数量一致。</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药品管理各项记录中的试验用药品批号与药检报告、总结报告等资料一致。</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研究者对生物等效性试验的临床试验用药品进行随机抽取，并按要求留样。</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8. </w:t>
      </w:r>
      <w:r>
        <w:rPr>
          <w:rFonts w:ascii="Times New Roman" w:eastAsia="仿宋_GB2312" w:hAnsi="Times New Roman" w:cs="Times New Roman" w:hint="eastAsia"/>
          <w:color w:val="000000" w:themeColor="text1"/>
          <w:sz w:val="32"/>
          <w:szCs w:val="32"/>
        </w:rPr>
        <w:t>临床试验用药品管理各环节的异常情况及时评估、处理、记录。</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（五）生物样品管理</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生物样品采集、处理、储存、转运等各环节的管理遵守相应的规定并保存记录。</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生物样品的采集、处理、储存和转运的条件符合临床试验方案的要求。</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样本容器的标识易于识别和具有唯一性，且不泄露受试者隐私及制剂种类。</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生物样品管理各环节的异常情况及时评估、处理、记录。</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w:t>
      </w:r>
      <w:r>
        <w:rPr>
          <w:rFonts w:ascii="Times New Roman" w:eastAsia="楷体_GB2312" w:hAnsi="Times New Roman" w:cs="Times New Roman" w:hint="eastAsia"/>
          <w:color w:val="000000" w:themeColor="text1"/>
          <w:sz w:val="32"/>
          <w:szCs w:val="32"/>
        </w:rPr>
        <w:t>六</w:t>
      </w:r>
      <w:r>
        <w:rPr>
          <w:rFonts w:ascii="Times New Roman" w:eastAsia="楷体_GB2312" w:hAnsi="Times New Roman" w:cs="Times New Roman"/>
          <w:color w:val="000000" w:themeColor="text1"/>
          <w:sz w:val="32"/>
          <w:szCs w:val="32"/>
        </w:rPr>
        <w:t>）中心实验室</w:t>
      </w:r>
      <w:r>
        <w:rPr>
          <w:rFonts w:ascii="Times New Roman" w:eastAsia="楷体_GB2312" w:hAnsi="Times New Roman" w:cs="Times New Roman" w:hint="eastAsia"/>
          <w:color w:val="000000" w:themeColor="text1"/>
          <w:sz w:val="32"/>
          <w:szCs w:val="32"/>
        </w:rPr>
        <w:t>及</w:t>
      </w:r>
      <w:r>
        <w:rPr>
          <w:rFonts w:ascii="Times New Roman" w:eastAsia="楷体_GB2312" w:hAnsi="Times New Roman" w:cs="Times New Roman"/>
          <w:color w:val="000000" w:themeColor="text1"/>
          <w:sz w:val="32"/>
          <w:szCs w:val="32"/>
        </w:rPr>
        <w:t>独立评估机构</w:t>
      </w:r>
      <w:r>
        <w:rPr>
          <w:rFonts w:ascii="Times New Roman" w:eastAsia="楷体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 </w:t>
      </w:r>
      <w:r>
        <w:rPr>
          <w:rFonts w:ascii="Times New Roman" w:eastAsia="仿宋_GB2312" w:hAnsi="Times New Roman" w:cs="Times New Roman"/>
          <w:color w:val="000000" w:themeColor="text1"/>
          <w:sz w:val="32"/>
          <w:szCs w:val="32"/>
        </w:rPr>
        <w:t>用于医学判断的检验项目和作为疗效和安全性指标的检验项目通过国家级室间质评或</w:t>
      </w:r>
      <w:r>
        <w:rPr>
          <w:rFonts w:ascii="Times New Roman" w:eastAsia="仿宋_GB2312" w:hAnsi="Times New Roman" w:cs="Times New Roman" w:hint="eastAsia"/>
          <w:color w:val="000000" w:themeColor="text1"/>
          <w:sz w:val="32"/>
          <w:szCs w:val="32"/>
        </w:rPr>
        <w:t>经</w:t>
      </w:r>
      <w:r>
        <w:rPr>
          <w:rFonts w:ascii="Times New Roman" w:eastAsia="仿宋_GB2312" w:hAnsi="Times New Roman" w:cs="Times New Roman"/>
          <w:color w:val="000000" w:themeColor="text1"/>
          <w:sz w:val="32"/>
          <w:szCs w:val="32"/>
        </w:rPr>
        <w:t>其他方法验证</w:t>
      </w:r>
      <w:r>
        <w:rPr>
          <w:rFonts w:ascii="Times New Roman" w:eastAsia="仿宋_GB2312" w:hAnsi="Times New Roman" w:cs="Times New Roman" w:hint="eastAsia"/>
          <w:color w:val="000000" w:themeColor="text1"/>
          <w:sz w:val="32"/>
          <w:szCs w:val="32"/>
        </w:rPr>
        <w:t>以保证</w:t>
      </w:r>
      <w:r>
        <w:rPr>
          <w:rFonts w:ascii="Times New Roman" w:eastAsia="仿宋_GB2312" w:hAnsi="Times New Roman" w:cs="Times New Roman"/>
          <w:color w:val="000000" w:themeColor="text1"/>
          <w:sz w:val="32"/>
          <w:szCs w:val="32"/>
        </w:rPr>
        <w:t>检测结果的可靠性。</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中心实验室建立临床检验报告发放制度（包括危急</w:t>
      </w:r>
      <w:proofErr w:type="gramStart"/>
      <w:r>
        <w:rPr>
          <w:rFonts w:ascii="Times New Roman" w:eastAsia="仿宋_GB2312" w:hAnsi="Times New Roman" w:cs="Times New Roman"/>
          <w:color w:val="000000" w:themeColor="text1"/>
          <w:sz w:val="32"/>
          <w:szCs w:val="32"/>
        </w:rPr>
        <w:t>值报告</w:t>
      </w:r>
      <w:proofErr w:type="gramEnd"/>
      <w:r>
        <w:rPr>
          <w:rFonts w:ascii="Times New Roman" w:eastAsia="仿宋_GB2312" w:hAnsi="Times New Roman" w:cs="Times New Roman"/>
          <w:color w:val="000000" w:themeColor="text1"/>
          <w:sz w:val="32"/>
          <w:szCs w:val="32"/>
        </w:rPr>
        <w:t>制度），按照相关要求向研究者报告检验结果，保证检验报告的准确、及时和信息完整，保护受试者隐私。</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3.</w:t>
      </w:r>
      <w:r>
        <w:rPr>
          <w:rFonts w:ascii="Times New Roman" w:eastAsia="仿宋_GB2312" w:hAnsi="Times New Roman" w:cs="Times New Roman" w:hint="eastAsia"/>
          <w:color w:val="000000" w:themeColor="text1"/>
          <w:sz w:val="32"/>
          <w:szCs w:val="32"/>
        </w:rPr>
        <w:t>中心实验室</w:t>
      </w:r>
      <w:r>
        <w:rPr>
          <w:rFonts w:ascii="Times New Roman" w:eastAsia="仿宋_GB2312" w:hAnsi="Times New Roman" w:cs="Times New Roman"/>
          <w:color w:val="000000" w:themeColor="text1"/>
          <w:sz w:val="32"/>
          <w:szCs w:val="32"/>
        </w:rPr>
        <w:t>建立</w:t>
      </w:r>
      <w:r>
        <w:rPr>
          <w:rFonts w:ascii="Times New Roman" w:eastAsia="仿宋_GB2312" w:hAnsi="Times New Roman" w:cs="Times New Roman" w:hint="eastAsia"/>
          <w:color w:val="000000" w:themeColor="text1"/>
          <w:sz w:val="32"/>
          <w:szCs w:val="32"/>
        </w:rPr>
        <w:t>有</w:t>
      </w:r>
      <w:r>
        <w:rPr>
          <w:rFonts w:ascii="Times New Roman" w:eastAsia="仿宋_GB2312" w:hAnsi="Times New Roman" w:cs="Times New Roman"/>
          <w:color w:val="000000" w:themeColor="text1"/>
          <w:sz w:val="32"/>
          <w:szCs w:val="32"/>
        </w:rPr>
        <w:t>实验室质量管理体系。</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待测样本接收、处理、检验检测、储存、归还（如适用）、销毁等过程具有完整的</w:t>
      </w:r>
      <w:r>
        <w:rPr>
          <w:rFonts w:ascii="Times New Roman" w:eastAsia="仿宋_GB2312" w:hAnsi="Times New Roman" w:cs="Times New Roman" w:hint="eastAsia"/>
          <w:color w:val="000000" w:themeColor="text1"/>
          <w:sz w:val="32"/>
          <w:szCs w:val="32"/>
        </w:rPr>
        <w:t>记录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待测样本根据方案和</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要求及时进行检测，复测符合试验方案和实验室相关</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检验方法经过验证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确认并符合方案要求，保存方法学验证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确认</w:t>
      </w:r>
      <w:r>
        <w:rPr>
          <w:rFonts w:ascii="Times New Roman" w:eastAsia="仿宋_GB2312" w:hAnsi="Times New Roman" w:cs="Times New Roman" w:hint="eastAsia"/>
          <w:color w:val="000000" w:themeColor="text1"/>
          <w:sz w:val="32"/>
          <w:szCs w:val="32"/>
        </w:rPr>
        <w:t>原始实验</w:t>
      </w:r>
      <w:r>
        <w:rPr>
          <w:rFonts w:ascii="Times New Roman" w:eastAsia="仿宋_GB2312" w:hAnsi="Times New Roman" w:cs="Times New Roman"/>
          <w:color w:val="000000" w:themeColor="text1"/>
          <w:sz w:val="32"/>
          <w:szCs w:val="32"/>
        </w:rPr>
        <w:t>记录。</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仪器设备使用、维护、校准等记录完整。保存</w:t>
      </w:r>
      <w:r>
        <w:rPr>
          <w:rFonts w:ascii="Times New Roman" w:eastAsia="仿宋_GB2312" w:hAnsi="Times New Roman" w:cs="Times New Roman" w:hint="eastAsia"/>
          <w:color w:val="000000" w:themeColor="text1"/>
          <w:sz w:val="32"/>
          <w:szCs w:val="32"/>
        </w:rPr>
        <w:t>有</w:t>
      </w:r>
      <w:r>
        <w:rPr>
          <w:rFonts w:ascii="Times New Roman" w:eastAsia="仿宋_GB2312" w:hAnsi="Times New Roman" w:cs="Times New Roman"/>
          <w:color w:val="000000" w:themeColor="text1"/>
          <w:sz w:val="32"/>
          <w:szCs w:val="32"/>
        </w:rPr>
        <w:t>仪器验证记录、仪器设备使用记录、检查维护记录等。</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8. </w:t>
      </w:r>
      <w:r>
        <w:rPr>
          <w:rFonts w:ascii="Times New Roman" w:eastAsia="仿宋_GB2312" w:hAnsi="Times New Roman" w:cs="Times New Roman" w:hint="eastAsia"/>
          <w:color w:val="000000" w:themeColor="text1"/>
          <w:sz w:val="32"/>
          <w:szCs w:val="32"/>
        </w:rPr>
        <w:t>对</w:t>
      </w:r>
      <w:r>
        <w:rPr>
          <w:rFonts w:ascii="Times New Roman" w:eastAsia="仿宋_GB2312" w:hAnsi="Times New Roman" w:cs="Times New Roman"/>
          <w:color w:val="000000" w:themeColor="text1"/>
          <w:sz w:val="32"/>
          <w:szCs w:val="32"/>
        </w:rPr>
        <w:t>临床试验数据进行独立评估的</w:t>
      </w:r>
      <w:r>
        <w:rPr>
          <w:rFonts w:ascii="Times New Roman" w:eastAsia="仿宋_GB2312" w:hAnsi="Times New Roman" w:cs="Times New Roman" w:hint="eastAsia"/>
          <w:color w:val="000000" w:themeColor="text1"/>
          <w:sz w:val="32"/>
          <w:szCs w:val="32"/>
        </w:rPr>
        <w:t>机构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如</w:t>
      </w:r>
      <w:r>
        <w:rPr>
          <w:rFonts w:ascii="Times New Roman" w:eastAsia="仿宋_GB2312" w:hAnsi="Times New Roman" w:cs="Times New Roman"/>
          <w:color w:val="000000" w:themeColor="text1"/>
          <w:sz w:val="32"/>
          <w:szCs w:val="32"/>
        </w:rPr>
        <w:t>独立影像学评估中心</w:t>
      </w:r>
      <w:r>
        <w:rPr>
          <w:rFonts w:ascii="Times New Roman" w:eastAsia="仿宋_GB2312" w:hAnsi="Times New Roman" w:cs="Times New Roman" w:hint="eastAsia"/>
          <w:color w:val="000000" w:themeColor="text1"/>
          <w:sz w:val="32"/>
          <w:szCs w:val="32"/>
        </w:rPr>
        <w:t>、终点事件裁定委员会、终点病例判定委员会、数据安全监查委员会等</w:t>
      </w:r>
      <w:r>
        <w:rPr>
          <w:rFonts w:ascii="Times New Roman" w:eastAsia="仿宋_GB2312" w:hAnsi="Times New Roman" w:cs="Times New Roman"/>
          <w:color w:val="000000" w:themeColor="text1"/>
          <w:sz w:val="32"/>
          <w:szCs w:val="32"/>
        </w:rPr>
        <w:t>）进行的评估流程、数据记录及修改按照</w:t>
      </w:r>
      <w:r>
        <w:rPr>
          <w:rFonts w:ascii="Times New Roman" w:eastAsia="仿宋_GB2312" w:hAnsi="Times New Roman" w:cs="Times New Roman" w:hint="eastAsia"/>
          <w:color w:val="000000" w:themeColor="text1"/>
          <w:sz w:val="32"/>
          <w:szCs w:val="32"/>
        </w:rPr>
        <w:t>相关指南及其</w:t>
      </w:r>
      <w:r>
        <w:rPr>
          <w:rFonts w:ascii="Times New Roman" w:eastAsia="仿宋_GB2312" w:hAnsi="Times New Roman" w:cs="Times New Roman"/>
          <w:color w:val="000000" w:themeColor="text1"/>
          <w:sz w:val="32"/>
          <w:szCs w:val="32"/>
        </w:rPr>
        <w:t>章程</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执行。</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对临床试验</w:t>
      </w:r>
      <w:r>
        <w:rPr>
          <w:rFonts w:ascii="Times New Roman" w:eastAsia="仿宋_GB2312" w:hAnsi="Times New Roman" w:cs="Times New Roman"/>
          <w:color w:val="000000" w:themeColor="text1"/>
          <w:sz w:val="32"/>
          <w:szCs w:val="32"/>
        </w:rPr>
        <w:t>数据进行独立评估的人员具备相应资质</w:t>
      </w:r>
      <w:r>
        <w:rPr>
          <w:rFonts w:ascii="Times New Roman" w:eastAsia="仿宋_GB2312" w:hAnsi="Times New Roman" w:cs="Times New Roman" w:hint="eastAsia"/>
          <w:color w:val="000000" w:themeColor="text1"/>
          <w:sz w:val="32"/>
          <w:szCs w:val="32"/>
        </w:rPr>
        <w:t>且</w:t>
      </w:r>
      <w:r>
        <w:rPr>
          <w:rFonts w:ascii="Times New Roman" w:eastAsia="仿宋_GB2312" w:hAnsi="Times New Roman" w:cs="Times New Roman"/>
          <w:color w:val="000000" w:themeColor="text1"/>
          <w:sz w:val="32"/>
          <w:szCs w:val="32"/>
        </w:rPr>
        <w:t>符合评估机构的</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指南</w:t>
      </w:r>
      <w:r>
        <w:rPr>
          <w:rFonts w:ascii="Times New Roman" w:eastAsia="仿宋_GB2312" w:hAnsi="Times New Roman" w:cs="Times New Roman" w:hint="eastAsia"/>
          <w:color w:val="000000" w:themeColor="text1"/>
          <w:sz w:val="32"/>
          <w:szCs w:val="32"/>
        </w:rPr>
        <w:t>或其章程</w:t>
      </w:r>
      <w:r>
        <w:rPr>
          <w:rFonts w:ascii="Times New Roman" w:eastAsia="仿宋_GB2312" w:hAnsi="Times New Roman" w:cs="Times New Roman"/>
          <w:color w:val="000000" w:themeColor="text1"/>
          <w:sz w:val="32"/>
          <w:szCs w:val="32"/>
        </w:rPr>
        <w:t>要求。</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10. </w:t>
      </w:r>
      <w:r>
        <w:rPr>
          <w:rFonts w:ascii="Times New Roman" w:eastAsia="仿宋_GB2312" w:hAnsi="Times New Roman" w:cs="Times New Roman" w:hint="eastAsia"/>
          <w:color w:val="000000" w:themeColor="text1"/>
          <w:sz w:val="32"/>
          <w:szCs w:val="32"/>
        </w:rPr>
        <w:t>独立</w:t>
      </w:r>
      <w:r>
        <w:rPr>
          <w:rFonts w:ascii="Times New Roman" w:eastAsia="仿宋_GB2312" w:hAnsi="Times New Roman" w:cs="Times New Roman"/>
          <w:color w:val="000000" w:themeColor="text1"/>
          <w:sz w:val="32"/>
          <w:szCs w:val="32"/>
        </w:rPr>
        <w:t>评估结果</w:t>
      </w:r>
      <w:r>
        <w:rPr>
          <w:rFonts w:ascii="Times New Roman" w:eastAsia="仿宋_GB2312" w:hAnsi="Times New Roman" w:cs="Times New Roman" w:hint="eastAsia"/>
          <w:color w:val="000000" w:themeColor="text1"/>
          <w:sz w:val="32"/>
          <w:szCs w:val="32"/>
        </w:rPr>
        <w:t>可</w:t>
      </w:r>
      <w:r>
        <w:rPr>
          <w:rFonts w:ascii="Times New Roman" w:eastAsia="仿宋_GB2312" w:hAnsi="Times New Roman" w:cs="Times New Roman"/>
          <w:color w:val="000000" w:themeColor="text1"/>
          <w:sz w:val="32"/>
          <w:szCs w:val="32"/>
        </w:rPr>
        <w:t>溯源至每位评估人员独立出具的评估报告。</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w:t>
      </w:r>
      <w:r>
        <w:rPr>
          <w:rFonts w:ascii="Times New Roman" w:eastAsia="楷体_GB2312" w:hAnsi="Times New Roman" w:cs="Times New Roman" w:hint="eastAsia"/>
          <w:color w:val="000000" w:themeColor="text1"/>
          <w:sz w:val="32"/>
          <w:szCs w:val="32"/>
        </w:rPr>
        <w:t>七</w:t>
      </w:r>
      <w:r>
        <w:rPr>
          <w:rFonts w:ascii="Times New Roman" w:eastAsia="楷体_GB2312" w:hAnsi="Times New Roman" w:cs="Times New Roman"/>
          <w:color w:val="000000" w:themeColor="text1"/>
          <w:sz w:val="32"/>
          <w:szCs w:val="32"/>
        </w:rPr>
        <w:t>）临床试验数据采集与管理</w:t>
      </w:r>
    </w:p>
    <w:p w:rsidR="009D311E" w:rsidRDefault="004E41AB">
      <w:pPr>
        <w:adjustRightInd w:val="0"/>
        <w:snapToGrid w:val="0"/>
        <w:spacing w:line="572" w:lineRule="exact"/>
        <w:ind w:firstLineChars="200" w:firstLine="640"/>
        <w:rPr>
          <w:rFonts w:ascii="仿宋_GB2312" w:eastAsia="仿宋_GB2312" w:hAnsi="黑体"/>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仿宋_GB2312" w:eastAsia="仿宋_GB2312" w:hAnsi="黑体" w:hint="eastAsia"/>
          <w:color w:val="000000" w:themeColor="text1"/>
          <w:sz w:val="32"/>
          <w:szCs w:val="32"/>
        </w:rPr>
        <w:t>纸质记录（记录本、记录纸）受控管理，表格进行版本控制。记录更改保持原有信息清晰可辨，注</w:t>
      </w:r>
      <w:r>
        <w:rPr>
          <w:rFonts w:ascii="仿宋_GB2312" w:eastAsia="仿宋_GB2312" w:hAnsi="黑体" w:hint="eastAsia"/>
          <w:color w:val="000000" w:themeColor="text1"/>
          <w:sz w:val="32"/>
          <w:szCs w:val="32"/>
        </w:rPr>
        <w:t>明修改人姓名、修改日期和理由。</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电子数据采集系统经过系统验证，并保存验证记录。计</w:t>
      </w:r>
      <w:r>
        <w:rPr>
          <w:rFonts w:ascii="Times New Roman" w:eastAsia="仿宋_GB2312" w:hAnsi="Times New Roman" w:cs="Times New Roman"/>
          <w:color w:val="000000" w:themeColor="text1"/>
          <w:sz w:val="32"/>
          <w:szCs w:val="32"/>
        </w:rPr>
        <w:lastRenderedPageBreak/>
        <w:t>算机化系统设置用户管理、角色管理和权限管理，不同人员或角色具有唯一登录权限。具有稽查轨迹功能，能够显示修改数据与修改原因的记录。</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若数据处理过程中发生数据转换，确保转换后的数据与原数据一致和该数据转化过程的可见性。</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外部数据确保数据可溯源。</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数据库锁定的条件和流程遵守数据库锁定的</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数据库锁定过程和时间有明确的文档记录，</w:t>
      </w:r>
      <w:proofErr w:type="gramStart"/>
      <w:r>
        <w:rPr>
          <w:rFonts w:ascii="Times New Roman" w:eastAsia="仿宋_GB2312" w:hAnsi="Times New Roman" w:cs="Times New Roman"/>
          <w:color w:val="000000" w:themeColor="text1"/>
          <w:sz w:val="32"/>
          <w:szCs w:val="32"/>
        </w:rPr>
        <w:t>对于盲法临床试验</w:t>
      </w:r>
      <w:proofErr w:type="gramEnd"/>
      <w:r>
        <w:rPr>
          <w:rFonts w:ascii="Times New Roman" w:eastAsia="仿宋_GB2312" w:hAnsi="Times New Roman" w:cs="Times New Roman"/>
          <w:color w:val="000000" w:themeColor="text1"/>
          <w:sz w:val="32"/>
          <w:szCs w:val="32"/>
        </w:rPr>
        <w:t>，数据库锁定后才</w:t>
      </w:r>
      <w:r>
        <w:rPr>
          <w:rFonts w:ascii="Times New Roman" w:eastAsia="仿宋_GB2312" w:hAnsi="Times New Roman" w:cs="Times New Roman" w:hint="eastAsia"/>
          <w:color w:val="000000" w:themeColor="text1"/>
          <w:sz w:val="32"/>
          <w:szCs w:val="32"/>
        </w:rPr>
        <w:t>进行</w:t>
      </w:r>
      <w:r>
        <w:rPr>
          <w:rFonts w:ascii="Times New Roman" w:eastAsia="仿宋_GB2312" w:hAnsi="Times New Roman" w:cs="Times New Roman"/>
          <w:color w:val="000000" w:themeColor="text1"/>
          <w:sz w:val="32"/>
          <w:szCs w:val="32"/>
        </w:rPr>
        <w:t>揭盲。</w:t>
      </w:r>
      <w:r>
        <w:rPr>
          <w:rFonts w:ascii="Times New Roman" w:eastAsia="仿宋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w:t>
      </w:r>
      <w:r>
        <w:rPr>
          <w:rFonts w:ascii="Times New Roman" w:eastAsia="楷体_GB2312" w:hAnsi="Times New Roman" w:cs="Times New Roman" w:hint="eastAsia"/>
          <w:color w:val="000000" w:themeColor="text1"/>
          <w:sz w:val="32"/>
          <w:szCs w:val="32"/>
        </w:rPr>
        <w:t>八</w:t>
      </w:r>
      <w:r>
        <w:rPr>
          <w:rFonts w:ascii="Times New Roman" w:eastAsia="楷体_GB2312" w:hAnsi="Times New Roman" w:cs="Times New Roman"/>
          <w:color w:val="000000" w:themeColor="text1"/>
          <w:sz w:val="32"/>
          <w:szCs w:val="32"/>
        </w:rPr>
        <w:t>）委托研究</w:t>
      </w:r>
      <w:r>
        <w:rPr>
          <w:rFonts w:ascii="Times New Roman" w:eastAsia="楷体_GB2312" w:hAnsi="Times New Roman" w:cs="Times New Roman"/>
          <w:color w:val="000000" w:themeColor="text1"/>
          <w:sz w:val="32"/>
          <w:szCs w:val="32"/>
        </w:rPr>
        <w:tab/>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临床试验涉及到的所有由其他部门或单位进行的研究、检测等工作，</w:t>
      </w:r>
      <w:r>
        <w:rPr>
          <w:rFonts w:ascii="Times New Roman" w:eastAsia="仿宋_GB2312" w:hAnsi="Times New Roman" w:cs="Times New Roman" w:hint="eastAsia"/>
          <w:color w:val="000000" w:themeColor="text1"/>
          <w:sz w:val="32"/>
          <w:szCs w:val="32"/>
        </w:rPr>
        <w:t>签</w:t>
      </w:r>
      <w:r>
        <w:rPr>
          <w:rFonts w:ascii="Times New Roman" w:eastAsia="仿宋_GB2312" w:hAnsi="Times New Roman" w:cs="Times New Roman"/>
          <w:color w:val="000000" w:themeColor="text1"/>
          <w:sz w:val="32"/>
          <w:szCs w:val="32"/>
        </w:rPr>
        <w:t>有委托协议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合同，对委托方和被委托方的责任义务予以明确。委托协议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合同反映的委托单位、时间、项目及方案等与申报资料记载一致。被委托机构出具的报告书或图谱等研究结果为加盖其公章的原件。根据审评需要对被委托机构进行现场核查，以确证其研究条件和研究情况。</w:t>
      </w:r>
      <w:r>
        <w:rPr>
          <w:rFonts w:ascii="Times New Roman" w:eastAsia="仿宋_GB2312" w:hAnsi="Times New Roman" w:cs="Times New Roman"/>
          <w:color w:val="000000" w:themeColor="text1"/>
          <w:sz w:val="32"/>
          <w:szCs w:val="32"/>
        </w:rPr>
        <w:tab/>
      </w:r>
    </w:p>
    <w:p w:rsidR="009D311E" w:rsidRDefault="004E41AB">
      <w:pPr>
        <w:numPr>
          <w:ilvl w:val="0"/>
          <w:numId w:val="1"/>
        </w:num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生物样品</w:t>
      </w:r>
      <w:r>
        <w:rPr>
          <w:rFonts w:ascii="Times New Roman" w:eastAsia="黑体" w:hAnsi="Times New Roman" w:cs="Times New Roman"/>
          <w:color w:val="000000" w:themeColor="text1"/>
          <w:sz w:val="32"/>
          <w:szCs w:val="32"/>
        </w:rPr>
        <w:t>分析部分现场核查要点</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（一）生物样品分析条件与合</w:t>
      </w:r>
      <w:proofErr w:type="gramStart"/>
      <w:r>
        <w:rPr>
          <w:rFonts w:ascii="Times New Roman" w:eastAsia="楷体_GB2312" w:hAnsi="Times New Roman" w:cs="Times New Roman" w:hint="eastAsia"/>
          <w:color w:val="000000" w:themeColor="text1"/>
          <w:sz w:val="32"/>
          <w:szCs w:val="32"/>
        </w:rPr>
        <w:t>规</w:t>
      </w:r>
      <w:proofErr w:type="gramEnd"/>
      <w:r>
        <w:rPr>
          <w:rFonts w:ascii="Times New Roman" w:eastAsia="楷体_GB2312" w:hAnsi="Times New Roman" w:cs="Times New Roman" w:hint="eastAsia"/>
          <w:color w:val="000000" w:themeColor="text1"/>
          <w:sz w:val="32"/>
          <w:szCs w:val="32"/>
        </w:rPr>
        <w:t>性</w:t>
      </w:r>
    </w:p>
    <w:p w:rsidR="009D311E" w:rsidRDefault="004E41AB">
      <w:pPr>
        <w:adjustRightInd w:val="0"/>
        <w:snapToGrid w:val="0"/>
        <w:spacing w:line="572" w:lineRule="exact"/>
        <w:ind w:firstLineChars="200" w:firstLine="640"/>
        <w:rPr>
          <w:rFonts w:ascii="仿宋_GB2312" w:eastAsia="仿宋_GB2312" w:hAnsi="黑体"/>
          <w:color w:val="000000" w:themeColor="text1"/>
          <w:sz w:val="32"/>
          <w:szCs w:val="32"/>
        </w:rPr>
      </w:pPr>
      <w:r>
        <w:rPr>
          <w:rFonts w:ascii="Times New Roman" w:eastAsia="仿宋_GB2312" w:hAnsi="Times New Roman" w:cs="Times New Roman"/>
          <w:color w:val="000000" w:themeColor="text1"/>
          <w:sz w:val="32"/>
          <w:szCs w:val="32"/>
        </w:rPr>
        <w:t>1.</w:t>
      </w:r>
      <w:r>
        <w:rPr>
          <w:rFonts w:ascii="仿宋_GB2312" w:eastAsia="仿宋_GB2312" w:hAnsi="黑体" w:hint="eastAsia"/>
          <w:color w:val="000000" w:themeColor="text1"/>
          <w:sz w:val="32"/>
          <w:szCs w:val="32"/>
        </w:rPr>
        <w:t>分析检测单位具备承担生物样品分析项目的条件。</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）组织机构设置合理，具有组织机构图。实验室人员职责分工明确，具有所从事工作的资质和能力，接受过药物临床试验质量管理规范和其他专业培训，项目负责人具有相应的专</w:t>
      </w:r>
      <w:r>
        <w:rPr>
          <w:rFonts w:ascii="Times New Roman" w:eastAsia="仿宋_GB2312" w:hAnsi="Times New Roman" w:cs="Times New Roman"/>
          <w:color w:val="000000" w:themeColor="text1"/>
          <w:sz w:val="32"/>
          <w:szCs w:val="32"/>
        </w:rPr>
        <w:lastRenderedPageBreak/>
        <w:t>业背景和经验。</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）制定与分析工作相适应的质量体系文件，并遵照执行。质量体系文件的内容符合法律、法规和指导原则等的要求，能覆盖实验室管理及分析项目的主要流程。</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）质量保证部门能独立履行质量保证职责，配有与其开展工作相适应的人员。质量保证人员具备相应的资格，对每个项目实施稽查，并保存完整的包括稽查内容、发现问题、采取措施、跟踪复查等的记录。</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）实验室划分不同的功能区域，布局合理，防止交叉污染，具有场地分布图。</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）配有可满足分析检测要求的取样、称量、配制、检测及数据分析的仪器及软件。仪器量具的量程、精度、分辨率等符合相应技术指标的要求，仪器的型号和编号记录在原始记录中，与申报资料一致。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）仪器设备由专人管理，主要仪器有完整的使用、校准、维护和维修等记录。用于检测的仪器至少进行安装确认（</w:t>
      </w:r>
      <w:r>
        <w:rPr>
          <w:rFonts w:ascii="Times New Roman" w:eastAsia="仿宋_GB2312" w:hAnsi="Times New Roman" w:cs="Times New Roman"/>
          <w:color w:val="000000" w:themeColor="text1"/>
          <w:sz w:val="32"/>
          <w:szCs w:val="32"/>
        </w:rPr>
        <w:t>IQ</w:t>
      </w:r>
      <w:r>
        <w:rPr>
          <w:rFonts w:ascii="Times New Roman" w:eastAsia="仿宋_GB2312" w:hAnsi="Times New Roman" w:cs="Times New Roman"/>
          <w:color w:val="000000" w:themeColor="text1"/>
          <w:sz w:val="32"/>
          <w:szCs w:val="32"/>
        </w:rPr>
        <w:t>）、运行确认（</w:t>
      </w:r>
      <w:r>
        <w:rPr>
          <w:rFonts w:ascii="Times New Roman" w:eastAsia="仿宋_GB2312" w:hAnsi="Times New Roman" w:cs="Times New Roman"/>
          <w:color w:val="000000" w:themeColor="text1"/>
          <w:sz w:val="32"/>
          <w:szCs w:val="32"/>
        </w:rPr>
        <w:t>OQ</w:t>
      </w:r>
      <w:r>
        <w:rPr>
          <w:rFonts w:ascii="Times New Roman" w:eastAsia="仿宋_GB2312" w:hAnsi="Times New Roman" w:cs="Times New Roman"/>
          <w:color w:val="000000" w:themeColor="text1"/>
          <w:sz w:val="32"/>
          <w:szCs w:val="32"/>
        </w:rPr>
        <w:t>）和性能确认（</w:t>
      </w:r>
      <w:r>
        <w:rPr>
          <w:rFonts w:ascii="Times New Roman" w:eastAsia="仿宋_GB2312" w:hAnsi="Times New Roman" w:cs="Times New Roman"/>
          <w:color w:val="000000" w:themeColor="text1"/>
          <w:sz w:val="32"/>
          <w:szCs w:val="32"/>
        </w:rPr>
        <w:t>PQ</w:t>
      </w:r>
      <w:r>
        <w:rPr>
          <w:rFonts w:ascii="Times New Roman" w:eastAsia="仿宋_GB2312" w:hAnsi="Times New Roman" w:cs="Times New Roman"/>
          <w:color w:val="000000" w:themeColor="text1"/>
          <w:sz w:val="32"/>
          <w:szCs w:val="32"/>
        </w:rPr>
        <w:t>），并保存相关记录。对检测结果有直接影响的仪器设备定期检定、校准，并保存相关</w:t>
      </w:r>
      <w:r>
        <w:rPr>
          <w:rFonts w:ascii="Times New Roman" w:eastAsia="仿宋_GB2312" w:hAnsi="Times New Roman" w:cs="Times New Roman"/>
          <w:color w:val="000000" w:themeColor="text1"/>
          <w:sz w:val="32"/>
          <w:szCs w:val="32"/>
        </w:rPr>
        <w:t>记录</w:t>
      </w:r>
      <w:r>
        <w:rPr>
          <w:rFonts w:ascii="Times New Roman" w:eastAsia="仿宋_GB2312" w:hAnsi="Times New Roman" w:cs="Times New Roman"/>
          <w:color w:val="000000" w:themeColor="text1"/>
          <w:sz w:val="32"/>
          <w:szCs w:val="32"/>
        </w:rPr>
        <w:t>。</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）配备环境温度和湿度监测</w:t>
      </w:r>
      <w:r>
        <w:rPr>
          <w:rFonts w:ascii="Times New Roman" w:eastAsia="仿宋_GB2312" w:hAnsi="Times New Roman" w:cs="Times New Roman"/>
          <w:color w:val="000000" w:themeColor="text1"/>
          <w:sz w:val="32"/>
          <w:szCs w:val="32"/>
        </w:rPr>
        <w:t>设备，保存温度和湿度记录。冰箱需配备温度监控和报警系统，并保存冰箱的温度记录和报警后的处理记录。配备完善的供电系统及断电后的应急预案。</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）配备相应的安全防护、应急和急救设施设备。</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）具备收集化学试剂和生物废弃物的设施和</w:t>
      </w:r>
      <w:r>
        <w:rPr>
          <w:rFonts w:ascii="Times New Roman" w:eastAsia="仿宋_GB2312" w:hAnsi="Times New Roman" w:cs="Times New Roman"/>
          <w:color w:val="000000" w:themeColor="text1"/>
          <w:sz w:val="32"/>
          <w:szCs w:val="32"/>
        </w:rPr>
        <w:t>处理措施</w:t>
      </w:r>
      <w:r>
        <w:rPr>
          <w:rFonts w:ascii="Times New Roman" w:eastAsia="仿宋_GB2312" w:hAnsi="Times New Roman" w:cs="Times New Roman"/>
          <w:color w:val="000000" w:themeColor="text1"/>
          <w:sz w:val="32"/>
          <w:szCs w:val="32"/>
        </w:rPr>
        <w:t>。</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分析检测单位与申办者或合同研究组织（</w:t>
      </w:r>
      <w:r>
        <w:rPr>
          <w:rFonts w:ascii="Times New Roman" w:eastAsia="仿宋_GB2312" w:hAnsi="Times New Roman" w:cs="Times New Roman"/>
          <w:color w:val="000000" w:themeColor="text1"/>
          <w:sz w:val="32"/>
          <w:szCs w:val="32"/>
        </w:rPr>
        <w:t>CRO</w:t>
      </w:r>
      <w:r>
        <w:rPr>
          <w:rFonts w:ascii="Times New Roman" w:eastAsia="仿宋_GB2312" w:hAnsi="Times New Roman" w:cs="Times New Roman"/>
          <w:color w:val="000000" w:themeColor="text1"/>
          <w:sz w:val="32"/>
          <w:szCs w:val="32"/>
        </w:rPr>
        <w:t>）签署委托合同，明确试验各方的责任、权利和利益，以及各方应当避免的、可能的利益冲突。</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申办者、</w:t>
      </w:r>
      <w:r>
        <w:rPr>
          <w:rFonts w:ascii="Times New Roman" w:eastAsia="仿宋_GB2312" w:hAnsi="Times New Roman" w:cs="Times New Roman"/>
          <w:color w:val="000000" w:themeColor="text1"/>
          <w:sz w:val="32"/>
          <w:szCs w:val="32"/>
        </w:rPr>
        <w:t>CRO</w:t>
      </w:r>
      <w:r>
        <w:rPr>
          <w:rFonts w:ascii="Times New Roman" w:eastAsia="仿宋_GB2312" w:hAnsi="Times New Roman" w:cs="Times New Roman"/>
          <w:color w:val="000000" w:themeColor="text1"/>
          <w:sz w:val="32"/>
          <w:szCs w:val="32"/>
        </w:rPr>
        <w:t>按照药物临床试验质量管理规范原则、方案及合同规定承担相应职责，并保存相应文件和记录。</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（二）生物样品分析实验的实施</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对照</w:t>
      </w:r>
      <w:r>
        <w:rPr>
          <w:rFonts w:ascii="Times New Roman" w:eastAsia="仿宋_GB2312" w:hAnsi="Times New Roman" w:cs="Times New Roman"/>
          <w:color w:val="000000" w:themeColor="text1"/>
          <w:sz w:val="32"/>
          <w:szCs w:val="32"/>
        </w:rPr>
        <w:t>标准物质的管理</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）对照标准物质由专人管理，来源可靠且可追溯，在分析证书（</w:t>
      </w:r>
      <w:proofErr w:type="spellStart"/>
      <w:r>
        <w:rPr>
          <w:rFonts w:ascii="Times New Roman" w:eastAsia="仿宋_GB2312" w:hAnsi="Times New Roman" w:cs="Times New Roman"/>
          <w:color w:val="000000" w:themeColor="text1"/>
          <w:sz w:val="32"/>
          <w:szCs w:val="32"/>
        </w:rPr>
        <w:t>CoA</w:t>
      </w:r>
      <w:proofErr w:type="spellEnd"/>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同等证明性文件</w:t>
      </w:r>
      <w:r>
        <w:rPr>
          <w:rFonts w:ascii="Times New Roman" w:eastAsia="仿宋_GB2312" w:hAnsi="Times New Roman" w:cs="Times New Roman"/>
          <w:color w:val="000000" w:themeColor="text1"/>
          <w:sz w:val="32"/>
          <w:szCs w:val="32"/>
        </w:rPr>
        <w:t>规定的条件下储存和使用。核对运输、接收、储存、领取、称量、使用、归还、销毁等原始记录，信息记录完整。对于不用于定量的对照标准物质，提供能证明其适用性的文件。</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）存放对照标准物质的区域或设备（冰箱、冷藏室等）受控管理，实际存放条件和位置与原始记录一致。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）对照标准物质的状态和原包装标签上的信息与</w:t>
      </w:r>
      <w:proofErr w:type="spellStart"/>
      <w:r>
        <w:rPr>
          <w:rFonts w:ascii="Times New Roman" w:eastAsia="仿宋_GB2312" w:hAnsi="Times New Roman" w:cs="Times New Roman"/>
          <w:color w:val="000000" w:themeColor="text1"/>
          <w:sz w:val="32"/>
          <w:szCs w:val="32"/>
        </w:rPr>
        <w:t>CoA</w:t>
      </w:r>
      <w:proofErr w:type="spellEnd"/>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同等证明性文件</w:t>
      </w:r>
      <w:r>
        <w:rPr>
          <w:rFonts w:ascii="Times New Roman" w:eastAsia="仿宋_GB2312" w:hAnsi="Times New Roman" w:cs="Times New Roman"/>
          <w:color w:val="000000" w:themeColor="text1"/>
          <w:sz w:val="32"/>
          <w:szCs w:val="32"/>
        </w:rPr>
        <w:t>的规定一致。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试验样品和空白基质的管理</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试验样品和空白基质由专人管理。接收试验样品的房间具有足够的空间用于样品接收、清点和登记。核对运输、接收、清点、入库、储存、领取、使用、归还、销毁等原始记录，信息记录完整，有明确的时间及操作人员签名。</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）试验样品在经</w:t>
      </w:r>
      <w:r>
        <w:rPr>
          <w:rFonts w:ascii="Times New Roman" w:eastAsia="仿宋_GB2312" w:hAnsi="Times New Roman" w:cs="Times New Roman"/>
          <w:color w:val="000000" w:themeColor="text1"/>
          <w:sz w:val="32"/>
          <w:szCs w:val="32"/>
        </w:rPr>
        <w:t>验证的</w:t>
      </w:r>
      <w:r>
        <w:rPr>
          <w:rFonts w:ascii="Times New Roman" w:eastAsia="仿宋_GB2312" w:hAnsi="Times New Roman" w:cs="Times New Roman"/>
          <w:color w:val="000000" w:themeColor="text1"/>
          <w:sz w:val="32"/>
          <w:szCs w:val="32"/>
        </w:rPr>
        <w:t>方法下采集、运输、储存和检测。</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）存放试验样品和空白基质的区域或设备（冰箱、冷藏室等）受控管理，实际存放位置与原始记录一致。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）在规定期限内储存试验样品，试验样品标签上的信息完整且清晰可辨，与临床试验方案的规定一致。核对试验样品的留存数量与接收数量、检测数量、试验样品转运数</w:t>
      </w:r>
      <w:r>
        <w:rPr>
          <w:rFonts w:ascii="Times New Roman" w:eastAsia="仿宋_GB2312" w:hAnsi="Times New Roman" w:cs="Times New Roman"/>
          <w:color w:val="000000" w:themeColor="text1"/>
          <w:sz w:val="32"/>
          <w:szCs w:val="32"/>
        </w:rPr>
        <w:t>量的一致性。</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方法学验证的实施</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）方法学验证项目按照验证计划书的规定考察，检测方法、实验过程和结果记录在原始记录中，与申报资料一致。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）有对照标准物质的称量原始记录，储备液和工作液、流动相、稀释液有配制时间和配制过程的原始记录，并与申报资料一致。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）校正标样和</w:t>
      </w:r>
      <w:proofErr w:type="gramStart"/>
      <w:r>
        <w:rPr>
          <w:rFonts w:ascii="Times New Roman" w:eastAsia="仿宋_GB2312" w:hAnsi="Times New Roman" w:cs="Times New Roman"/>
          <w:color w:val="000000" w:themeColor="text1"/>
          <w:sz w:val="32"/>
          <w:szCs w:val="32"/>
        </w:rPr>
        <w:t>质控</w:t>
      </w:r>
      <w:proofErr w:type="gramEnd"/>
      <w:r>
        <w:rPr>
          <w:rFonts w:ascii="Times New Roman" w:eastAsia="仿宋_GB2312" w:hAnsi="Times New Roman" w:cs="Times New Roman"/>
          <w:color w:val="000000" w:themeColor="text1"/>
          <w:sz w:val="32"/>
          <w:szCs w:val="32"/>
        </w:rPr>
        <w:t>样品有配制、分装、储存、领用、使用、归还等原始记录，稳定性质控样品有配制时间、放置位置、储存条件和稳定时间等原始记录，并与申报资料一致。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）生物样品预处理步骤和关键时间点记录完整，与申报资料一致。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）所有在仪器中进样的样品均</w:t>
      </w:r>
      <w:r>
        <w:rPr>
          <w:rFonts w:ascii="Times New Roman" w:eastAsia="仿宋_GB2312" w:hAnsi="Times New Roman" w:cs="Times New Roman"/>
          <w:color w:val="000000" w:themeColor="text1"/>
          <w:sz w:val="32"/>
          <w:szCs w:val="32"/>
        </w:rPr>
        <w:t>记录在原始记录中，并对方法学验证过程中出现的异常情况进行调查和分析，与申报资料一致。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试验样品分析测试的实施</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）试验样品分析按照分析计划执行，分析批中样品预处理的过程和检测方法与方法学验证一致，血药浓度数据与申报资料一致。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）一个分析批中所有样品被处理和提取的顺序与进样顺序一致，过程可溯源。如有分批处理的情况，每个处理</w:t>
      </w:r>
      <w:proofErr w:type="gramStart"/>
      <w:r>
        <w:rPr>
          <w:rFonts w:ascii="Times New Roman" w:eastAsia="仿宋_GB2312" w:hAnsi="Times New Roman" w:cs="Times New Roman"/>
          <w:color w:val="000000" w:themeColor="text1"/>
          <w:sz w:val="32"/>
          <w:szCs w:val="32"/>
        </w:rPr>
        <w:t>批应当</w:t>
      </w:r>
      <w:proofErr w:type="gramEnd"/>
      <w:r>
        <w:rPr>
          <w:rFonts w:ascii="Times New Roman" w:eastAsia="仿宋_GB2312" w:hAnsi="Times New Roman" w:cs="Times New Roman"/>
          <w:color w:val="000000" w:themeColor="text1"/>
          <w:sz w:val="32"/>
          <w:szCs w:val="32"/>
        </w:rPr>
        <w:t>包括低、中、高浓度质控样品，并符合事先规定的接受标准。</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）一个分析批中所有样品有唯一性编号，样品按照顺序连续不间断进样，如中断，在原始记录中记录中断原因，与申报资料一致。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）所有在仪器中进样的样品均记录在原始记录中，并对样品分析过程中出现的异常情况进行调查和分析，与申报资料一致。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）试验样品分析过程中如有残留，对试验样品浓度的影响进行评估并采取具体措施，与申报资料一致。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）对于生物等效性试验，同一受试者的全部样品在同一分析批中检测（特殊情况除外）。</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）对于生物等效性试验，样品分析和</w:t>
      </w:r>
      <w:r>
        <w:rPr>
          <w:rFonts w:ascii="Times New Roman" w:eastAsia="仿宋_GB2312" w:hAnsi="Times New Roman" w:cs="Times New Roman"/>
          <w:color w:val="000000" w:themeColor="text1"/>
          <w:sz w:val="32"/>
          <w:szCs w:val="32"/>
        </w:rPr>
        <w:t>数据传输</w:t>
      </w:r>
      <w:r>
        <w:rPr>
          <w:rFonts w:ascii="Times New Roman" w:eastAsia="仿宋_GB2312" w:hAnsi="Times New Roman" w:cs="Times New Roman"/>
          <w:color w:val="000000" w:themeColor="text1"/>
          <w:sz w:val="32"/>
          <w:szCs w:val="32"/>
        </w:rPr>
        <w:t>保持盲态。</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）试验样品重新分析的理由和报告值的选择</w:t>
      </w:r>
      <w:r>
        <w:rPr>
          <w:rFonts w:ascii="Times New Roman" w:eastAsia="仿宋_GB2312" w:hAnsi="Times New Roman" w:cs="Times New Roman" w:hint="eastAsia"/>
          <w:color w:val="000000" w:themeColor="text1"/>
          <w:sz w:val="32"/>
          <w:szCs w:val="32"/>
        </w:rPr>
        <w:t>符合标准操作规程或分析计划的规定。试验样品的初始值、重分</w:t>
      </w:r>
      <w:r>
        <w:rPr>
          <w:rFonts w:ascii="Times New Roman" w:eastAsia="仿宋_GB2312" w:hAnsi="Times New Roman" w:cs="Times New Roman"/>
          <w:color w:val="000000" w:themeColor="text1"/>
          <w:sz w:val="32"/>
          <w:szCs w:val="32"/>
        </w:rPr>
        <w:t>析的原因、重复次数、重分析的结果、最终接受的值以及接受的理由记</w:t>
      </w:r>
      <w:r>
        <w:rPr>
          <w:rFonts w:ascii="Times New Roman" w:eastAsia="仿宋_GB2312" w:hAnsi="Times New Roman" w:cs="Times New Roman"/>
          <w:color w:val="000000" w:themeColor="text1"/>
          <w:sz w:val="32"/>
          <w:szCs w:val="32"/>
        </w:rPr>
        <w:t>录，并与申报资料一致。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）试验样品再分析（</w:t>
      </w:r>
      <w:r>
        <w:rPr>
          <w:rFonts w:ascii="Times New Roman" w:eastAsia="仿宋_GB2312" w:hAnsi="Times New Roman" w:cs="Times New Roman"/>
          <w:color w:val="000000" w:themeColor="text1"/>
          <w:sz w:val="32"/>
          <w:szCs w:val="32"/>
        </w:rPr>
        <w:t>ISR</w:t>
      </w:r>
      <w:r>
        <w:rPr>
          <w:rFonts w:ascii="Times New Roman" w:eastAsia="仿宋_GB2312" w:hAnsi="Times New Roman" w:cs="Times New Roman"/>
          <w:color w:val="000000" w:themeColor="text1"/>
          <w:sz w:val="32"/>
          <w:szCs w:val="32"/>
        </w:rPr>
        <w:t>）的样品选取具有代表性，数</w:t>
      </w:r>
      <w:r>
        <w:rPr>
          <w:rFonts w:ascii="Times New Roman" w:eastAsia="仿宋_GB2312" w:hAnsi="Times New Roman" w:cs="Times New Roman"/>
          <w:color w:val="000000" w:themeColor="text1"/>
          <w:sz w:val="32"/>
          <w:szCs w:val="32"/>
        </w:rPr>
        <w:lastRenderedPageBreak/>
        <w:t>量符合要求。如果</w:t>
      </w:r>
      <w:r>
        <w:rPr>
          <w:rFonts w:ascii="Times New Roman" w:eastAsia="仿宋_GB2312" w:hAnsi="Times New Roman" w:cs="Times New Roman"/>
          <w:color w:val="000000" w:themeColor="text1"/>
          <w:sz w:val="32"/>
          <w:szCs w:val="32"/>
        </w:rPr>
        <w:t>ISR</w:t>
      </w:r>
      <w:r>
        <w:rPr>
          <w:rFonts w:ascii="Times New Roman" w:eastAsia="仿宋_GB2312" w:hAnsi="Times New Roman" w:cs="Times New Roman"/>
          <w:color w:val="000000" w:themeColor="text1"/>
          <w:sz w:val="32"/>
          <w:szCs w:val="32"/>
        </w:rPr>
        <w:t>符合接受标准，但在多个样品的结果之间显示出较大或系统差异的情况（例如同一受试者的所有样品均失败、同一分析批的所有样品均失败），应该进行调查以明确原因。</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色谱积分</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）色谱使用自动积分，同一个分析批中采用相同的积分参数。如果色谱重积分和手动积分，记录修改理由并保留原始和重积分的图谱和数据，与申报资料一致。</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）标准曲线和</w:t>
      </w:r>
      <w:proofErr w:type="gramStart"/>
      <w:r>
        <w:rPr>
          <w:rFonts w:ascii="Times New Roman" w:eastAsia="仿宋_GB2312" w:hAnsi="Times New Roman" w:cs="Times New Roman"/>
          <w:color w:val="000000" w:themeColor="text1"/>
          <w:sz w:val="32"/>
          <w:szCs w:val="32"/>
        </w:rPr>
        <w:t>质控</w:t>
      </w:r>
      <w:proofErr w:type="gramEnd"/>
      <w:r>
        <w:rPr>
          <w:rFonts w:ascii="Times New Roman" w:eastAsia="仿宋_GB2312" w:hAnsi="Times New Roman" w:cs="Times New Roman"/>
          <w:color w:val="000000" w:themeColor="text1"/>
          <w:sz w:val="32"/>
          <w:szCs w:val="32"/>
        </w:rPr>
        <w:t>色谱如果进行了重积分，</w:t>
      </w:r>
      <w:proofErr w:type="gramStart"/>
      <w:r>
        <w:rPr>
          <w:rFonts w:ascii="Times New Roman" w:eastAsia="仿宋_GB2312" w:hAnsi="Times New Roman" w:cs="Times New Roman"/>
          <w:color w:val="000000" w:themeColor="text1"/>
          <w:sz w:val="32"/>
          <w:szCs w:val="32"/>
        </w:rPr>
        <w:t>核实重</w:t>
      </w:r>
      <w:proofErr w:type="gramEnd"/>
      <w:r>
        <w:rPr>
          <w:rFonts w:ascii="Times New Roman" w:eastAsia="仿宋_GB2312" w:hAnsi="Times New Roman" w:cs="Times New Roman"/>
          <w:color w:val="000000" w:themeColor="text1"/>
          <w:sz w:val="32"/>
          <w:szCs w:val="32"/>
        </w:rPr>
        <w:t>积分是否影响该分析批的接受。</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）抽取工作站中的试</w:t>
      </w:r>
      <w:r>
        <w:rPr>
          <w:rFonts w:ascii="Times New Roman" w:eastAsia="仿宋_GB2312" w:hAnsi="Times New Roman" w:cs="Times New Roman"/>
          <w:color w:val="000000" w:themeColor="text1"/>
          <w:sz w:val="32"/>
          <w:szCs w:val="32"/>
        </w:rPr>
        <w:t>验样品、随行标准曲线和</w:t>
      </w:r>
      <w:r>
        <w:rPr>
          <w:rFonts w:ascii="Times New Roman" w:eastAsia="仿宋_GB2312" w:hAnsi="Times New Roman" w:cs="Times New Roman"/>
          <w:color w:val="000000" w:themeColor="text1"/>
          <w:sz w:val="32"/>
          <w:szCs w:val="32"/>
        </w:rPr>
        <w:t>QC</w:t>
      </w:r>
      <w:r>
        <w:rPr>
          <w:rFonts w:ascii="Times New Roman" w:eastAsia="仿宋_GB2312" w:hAnsi="Times New Roman" w:cs="Times New Roman"/>
          <w:color w:val="000000" w:themeColor="text1"/>
          <w:sz w:val="32"/>
          <w:szCs w:val="32"/>
        </w:rPr>
        <w:t>样品以及方法学验证样品的部分电子图谱，与申报资料一致。</w:t>
      </w:r>
    </w:p>
    <w:p w:rsidR="009D311E" w:rsidRDefault="004E41AB">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（三）记录的管理</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记录（纸质和电子）包括但不限于：样品接收和处理记录、样品制备和分析记录、原始图谱、偏差报告、调查报告、标准操作规程、审计追踪，以及与申办者或临床试验机构的通信等，记录的信息真实、准确、完整和</w:t>
      </w:r>
      <w:proofErr w:type="gramStart"/>
      <w:r>
        <w:rPr>
          <w:rFonts w:ascii="Times New Roman" w:eastAsia="仿宋_GB2312" w:hAnsi="Times New Roman" w:cs="Times New Roman"/>
          <w:color w:val="000000" w:themeColor="text1"/>
          <w:sz w:val="32"/>
          <w:szCs w:val="32"/>
        </w:rPr>
        <w:t>可</w:t>
      </w:r>
      <w:proofErr w:type="gramEnd"/>
      <w:r>
        <w:rPr>
          <w:rFonts w:ascii="Times New Roman" w:eastAsia="仿宋_GB2312" w:hAnsi="Times New Roman" w:cs="Times New Roman"/>
          <w:color w:val="000000" w:themeColor="text1"/>
          <w:sz w:val="32"/>
          <w:szCs w:val="32"/>
        </w:rPr>
        <w:t>追溯。</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）纸质记录（记录本、记录纸）受控管理，表格进行版本控制。记录更改保持原有信息清晰可辨，注明修改人姓名、修改日期和理由。</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）采用电子记录的计算机化系统经过系统验证，并保存验证记录。计算机化系统设置用户管理、角色管理和权限管理，</w:t>
      </w:r>
      <w:r>
        <w:rPr>
          <w:rFonts w:ascii="Times New Roman" w:eastAsia="仿宋_GB2312" w:hAnsi="Times New Roman" w:cs="Times New Roman"/>
          <w:color w:val="000000" w:themeColor="text1"/>
          <w:sz w:val="32"/>
          <w:szCs w:val="32"/>
        </w:rPr>
        <w:lastRenderedPageBreak/>
        <w:t>不同人员或角色具有唯一登录权限。</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开启并保存计算机化系统的稽查轨迹和仪器日志，实验室应对保存期限进行规定。</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记录的保存和备份的物理环境应进行温度和湿度监控，配备防火、防水、防热、防潮、防破坏、防盗窃等设备。对记录的保存和备份的载体接触人员应当限制、记录和监控。</w:t>
      </w:r>
    </w:p>
    <w:p w:rsidR="009D311E" w:rsidRDefault="004E41AB">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项目结束</w:t>
      </w:r>
      <w:proofErr w:type="gramStart"/>
      <w:r>
        <w:rPr>
          <w:rFonts w:ascii="Times New Roman" w:eastAsia="仿宋_GB2312" w:hAnsi="Times New Roman" w:cs="Times New Roman"/>
          <w:color w:val="000000" w:themeColor="text1"/>
          <w:sz w:val="32"/>
          <w:szCs w:val="32"/>
        </w:rPr>
        <w:t>后记录</w:t>
      </w:r>
      <w:proofErr w:type="gramEnd"/>
      <w:r>
        <w:rPr>
          <w:rFonts w:ascii="Times New Roman" w:eastAsia="仿宋_GB2312" w:hAnsi="Times New Roman" w:cs="Times New Roman"/>
          <w:color w:val="000000" w:themeColor="text1"/>
          <w:sz w:val="32"/>
          <w:szCs w:val="32"/>
        </w:rPr>
        <w:t>及时归档，档案由专人管理。对归档、查阅、借阅和归还等情况及时记录。档案室配备防盗、防火、防水、防虫害、防磁等必要设施</w:t>
      </w:r>
      <w:r>
        <w:rPr>
          <w:rFonts w:ascii="Times New Roman" w:eastAsia="仿宋_GB2312" w:hAnsi="Times New Roman" w:cs="Times New Roman"/>
          <w:color w:val="000000" w:themeColor="text1"/>
          <w:sz w:val="32"/>
          <w:szCs w:val="32"/>
        </w:rPr>
        <w:t>设备，并进行定期维护检查。</w:t>
      </w:r>
    </w:p>
    <w:p w:rsidR="009D311E" w:rsidRDefault="004E41AB">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四、核查结果判定原则</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w:t>
      </w:r>
      <w:r>
        <w:rPr>
          <w:rFonts w:ascii="Times New Roman" w:eastAsia="仿宋_GB2312" w:hAnsi="Times New Roman" w:cs="Times New Roman" w:hint="eastAsia"/>
          <w:color w:val="000000" w:themeColor="text1"/>
          <w:sz w:val="32"/>
          <w:szCs w:val="32"/>
        </w:rPr>
        <w:t>对研究过程中原始记录和数据进行核实、实地确认，经</w:t>
      </w:r>
      <w:r>
        <w:rPr>
          <w:rFonts w:ascii="Times New Roman" w:eastAsia="仿宋_GB2312" w:hAnsi="Times New Roman" w:cs="Times New Roman"/>
          <w:color w:val="000000" w:themeColor="text1"/>
          <w:sz w:val="32"/>
          <w:szCs w:val="32"/>
        </w:rPr>
        <w:t>核查确认</w:t>
      </w:r>
      <w:r>
        <w:rPr>
          <w:rFonts w:ascii="Times New Roman" w:eastAsia="仿宋_GB2312" w:hAnsi="Times New Roman" w:cs="Times New Roman" w:hint="eastAsia"/>
          <w:color w:val="000000" w:themeColor="text1"/>
          <w:sz w:val="32"/>
          <w:szCs w:val="32"/>
        </w:rPr>
        <w:t>发现以下情形之一的，核查认定为“不通过”：</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编造或者无合理解释地修改受试者信息以及试验数据、试验记录、试验药物信息；</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2. </w:t>
      </w:r>
      <w:r>
        <w:rPr>
          <w:rFonts w:ascii="Times New Roman" w:eastAsia="仿宋_GB2312" w:hAnsi="Times New Roman" w:cs="Times New Roman" w:hint="eastAsia"/>
          <w:color w:val="000000" w:themeColor="text1"/>
          <w:sz w:val="32"/>
          <w:szCs w:val="32"/>
        </w:rPr>
        <w:t>以参比制剂替代试验制剂、以试验制剂替代参比制剂或者以市场购买药品替代自行研制的试验用药品，以及以其他方式使用虚假试验用药品；</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隐瞒试验数据，无合理解释地弃用试验数据，以其他方式违反试验方案选择性使用试验数据；</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瞒报可疑且非预期严重不良反应；</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瞒报试验方案禁用的合并药物；</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故意损毁、隐匿临床试验数据或者数据存储介质；</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7.</w:t>
      </w:r>
      <w:r>
        <w:rPr>
          <w:rFonts w:ascii="Times New Roman" w:eastAsia="仿宋_GB2312" w:hAnsi="Times New Roman" w:cs="Times New Roman" w:hint="eastAsia"/>
          <w:color w:val="000000" w:themeColor="text1"/>
          <w:sz w:val="32"/>
          <w:szCs w:val="32"/>
        </w:rPr>
        <w:t>关键研究活动、数据无法溯源；</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hint="eastAsia"/>
          <w:color w:val="000000" w:themeColor="text1"/>
          <w:sz w:val="32"/>
          <w:szCs w:val="32"/>
        </w:rPr>
        <w:t>申报资料与原始记录不一致且影响结果评价；</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9. </w:t>
      </w:r>
      <w:r>
        <w:rPr>
          <w:rFonts w:ascii="Times New Roman" w:eastAsia="仿宋_GB2312" w:hAnsi="Times New Roman" w:cs="Times New Roman" w:hint="eastAsia"/>
          <w:color w:val="000000" w:themeColor="text1"/>
          <w:sz w:val="32"/>
          <w:szCs w:val="32"/>
        </w:rPr>
        <w:t>其他严重数据可靠性问题；</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10. </w:t>
      </w:r>
      <w:r>
        <w:rPr>
          <w:rFonts w:ascii="Times New Roman" w:eastAsia="仿宋_GB2312" w:hAnsi="Times New Roman" w:cs="Times New Roman" w:hint="eastAsia"/>
          <w:color w:val="000000" w:themeColor="text1"/>
          <w:sz w:val="32"/>
          <w:szCs w:val="32"/>
        </w:rPr>
        <w:t>拒绝、不配合核查，导致无法继续进行现场核查；</w:t>
      </w:r>
    </w:p>
    <w:p w:rsidR="009D311E" w:rsidRDefault="004E41AB">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法律法规</w:t>
      </w:r>
      <w:r>
        <w:rPr>
          <w:rFonts w:ascii="Times New Roman" w:eastAsia="仿宋_GB2312" w:hAnsi="Times New Roman" w:cs="Times New Roman"/>
          <w:color w:val="000000" w:themeColor="text1"/>
          <w:sz w:val="32"/>
          <w:szCs w:val="32"/>
        </w:rPr>
        <w:t>规定的其他不应当</w:t>
      </w:r>
      <w:r>
        <w:rPr>
          <w:rFonts w:ascii="Times New Roman" w:eastAsia="仿宋_GB2312" w:hAnsi="Times New Roman" w:cs="Times New Roman" w:hint="eastAsia"/>
          <w:color w:val="000000" w:themeColor="text1"/>
          <w:sz w:val="32"/>
          <w:szCs w:val="32"/>
        </w:rPr>
        <w:t>通过</w:t>
      </w:r>
      <w:r>
        <w:rPr>
          <w:rFonts w:ascii="Times New Roman" w:eastAsia="仿宋_GB2312" w:hAnsi="Times New Roman" w:cs="Times New Roman"/>
          <w:color w:val="000000" w:themeColor="text1"/>
          <w:sz w:val="32"/>
          <w:szCs w:val="32"/>
        </w:rPr>
        <w:t>的情形。</w:t>
      </w:r>
    </w:p>
    <w:p w:rsidR="009D311E" w:rsidRDefault="004E41AB">
      <w:pPr>
        <w:pStyle w:val="a8"/>
        <w:shd w:val="clear" w:color="auto" w:fill="FFFFFF"/>
        <w:spacing w:before="0" w:beforeAutospacing="0" w:after="0" w:afterAutospacing="0" w:line="572" w:lineRule="exact"/>
        <w:ind w:firstLineChars="200" w:firstLine="640"/>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hint="eastAsia"/>
          <w:color w:val="000000" w:themeColor="text1"/>
          <w:kern w:val="2"/>
          <w:sz w:val="32"/>
          <w:szCs w:val="32"/>
        </w:rPr>
        <w:t>（二）对研究过程中原始记录和数据进行核实、实地确认，未发现问题或发现的问题不构成以上不通过情形的，核查认定为“通过”。其中发现的问题对数据质量和可靠性可能有影响的，需审评重点关注。</w:t>
      </w:r>
    </w:p>
    <w:p w:rsidR="009D311E" w:rsidRDefault="009D311E">
      <w:pPr>
        <w:pStyle w:val="a8"/>
        <w:shd w:val="clear" w:color="auto" w:fill="FFFFFF"/>
        <w:spacing w:before="0" w:beforeAutospacing="0" w:after="0" w:afterAutospacing="0" w:line="572" w:lineRule="exact"/>
        <w:ind w:firstLineChars="200" w:firstLine="640"/>
        <w:rPr>
          <w:rFonts w:ascii="Times New Roman" w:eastAsia="仿宋_GB2312" w:hAnsi="Times New Roman" w:cs="Times New Roman"/>
          <w:color w:val="000000" w:themeColor="text1"/>
          <w:kern w:val="2"/>
          <w:sz w:val="32"/>
          <w:szCs w:val="32"/>
        </w:rPr>
      </w:pPr>
    </w:p>
    <w:sectPr w:rsidR="009D311E" w:rsidSect="009D311E">
      <w:footerReference w:type="default" r:id="rId9"/>
      <w:pgSz w:w="11906" w:h="16838"/>
      <w:pgMar w:top="2098" w:right="1531" w:bottom="1985" w:left="1531"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11E" w:rsidRDefault="009D311E" w:rsidP="009D311E">
      <w:r>
        <w:separator/>
      </w:r>
    </w:p>
  </w:endnote>
  <w:endnote w:type="continuationSeparator" w:id="1">
    <w:p w:rsidR="009D311E" w:rsidRDefault="009D311E" w:rsidP="009D3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568075"/>
    </w:sdtPr>
    <w:sdtContent>
      <w:sdt>
        <w:sdtPr>
          <w:id w:val="-1705238520"/>
        </w:sdtPr>
        <w:sdtContent>
          <w:p w:rsidR="009D311E" w:rsidRDefault="009D311E">
            <w:pPr>
              <w:pStyle w:val="a6"/>
              <w:jc w:val="center"/>
            </w:pPr>
            <w:r>
              <w:rPr>
                <w:b/>
                <w:bCs/>
                <w:sz w:val="24"/>
                <w:szCs w:val="24"/>
              </w:rPr>
              <w:fldChar w:fldCharType="begin"/>
            </w:r>
            <w:r w:rsidR="004E41AB">
              <w:rPr>
                <w:b/>
                <w:bCs/>
              </w:rPr>
              <w:instrText>PAGE</w:instrText>
            </w:r>
            <w:r>
              <w:rPr>
                <w:b/>
                <w:bCs/>
                <w:sz w:val="24"/>
                <w:szCs w:val="24"/>
              </w:rPr>
              <w:fldChar w:fldCharType="separate"/>
            </w:r>
            <w:r w:rsidR="004E41AB">
              <w:rPr>
                <w:b/>
                <w:bCs/>
                <w:noProof/>
              </w:rPr>
              <w:t>17</w:t>
            </w:r>
            <w:r>
              <w:rPr>
                <w:b/>
                <w:bCs/>
                <w:sz w:val="24"/>
                <w:szCs w:val="24"/>
              </w:rPr>
              <w:fldChar w:fldCharType="end"/>
            </w:r>
            <w:r w:rsidR="004E41AB">
              <w:rPr>
                <w:lang w:val="zh-CN"/>
              </w:rPr>
              <w:t xml:space="preserve"> </w:t>
            </w:r>
            <w:r w:rsidR="004E41AB">
              <w:rPr>
                <w:lang w:val="zh-CN"/>
              </w:rPr>
              <w:t xml:space="preserve">/ </w:t>
            </w:r>
            <w:r>
              <w:rPr>
                <w:b/>
                <w:bCs/>
                <w:sz w:val="24"/>
                <w:szCs w:val="24"/>
              </w:rPr>
              <w:fldChar w:fldCharType="begin"/>
            </w:r>
            <w:r w:rsidR="004E41AB">
              <w:rPr>
                <w:b/>
                <w:bCs/>
              </w:rPr>
              <w:instrText>NUMPAGES</w:instrText>
            </w:r>
            <w:r>
              <w:rPr>
                <w:b/>
                <w:bCs/>
                <w:sz w:val="24"/>
                <w:szCs w:val="24"/>
              </w:rPr>
              <w:fldChar w:fldCharType="separate"/>
            </w:r>
            <w:r w:rsidR="004E41AB">
              <w:rPr>
                <w:b/>
                <w:bCs/>
                <w:noProof/>
              </w:rPr>
              <w:t>17</w:t>
            </w:r>
            <w:r>
              <w:rPr>
                <w:b/>
                <w:bCs/>
                <w:sz w:val="24"/>
                <w:szCs w:val="24"/>
              </w:rPr>
              <w:fldChar w:fldCharType="end"/>
            </w:r>
          </w:p>
        </w:sdtContent>
      </w:sdt>
    </w:sdtContent>
  </w:sdt>
  <w:p w:rsidR="009D311E" w:rsidRDefault="009D31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11E" w:rsidRDefault="009D311E" w:rsidP="009D311E">
      <w:r>
        <w:separator/>
      </w:r>
    </w:p>
  </w:footnote>
  <w:footnote w:type="continuationSeparator" w:id="1">
    <w:p w:rsidR="009D311E" w:rsidRDefault="009D311E" w:rsidP="009D3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6BA1E"/>
    <w:multiLevelType w:val="singleLevel"/>
    <w:tmpl w:val="2AC6BA1E"/>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drawingGridHorizontalSpacing w:val="105"/>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402A19"/>
    <w:rsid w:val="00001BB0"/>
    <w:rsid w:val="00012569"/>
    <w:rsid w:val="000139B5"/>
    <w:rsid w:val="00014AC6"/>
    <w:rsid w:val="00017A1A"/>
    <w:rsid w:val="000209E1"/>
    <w:rsid w:val="00026F92"/>
    <w:rsid w:val="0002760F"/>
    <w:rsid w:val="00027790"/>
    <w:rsid w:val="00027F24"/>
    <w:rsid w:val="000312A3"/>
    <w:rsid w:val="00040D08"/>
    <w:rsid w:val="000412DF"/>
    <w:rsid w:val="000420B0"/>
    <w:rsid w:val="00045571"/>
    <w:rsid w:val="00050569"/>
    <w:rsid w:val="00052A11"/>
    <w:rsid w:val="00056D1B"/>
    <w:rsid w:val="000705FD"/>
    <w:rsid w:val="00070A38"/>
    <w:rsid w:val="0007184F"/>
    <w:rsid w:val="00075F4A"/>
    <w:rsid w:val="00086529"/>
    <w:rsid w:val="000930A8"/>
    <w:rsid w:val="00093FE0"/>
    <w:rsid w:val="000941E2"/>
    <w:rsid w:val="00095936"/>
    <w:rsid w:val="0009616F"/>
    <w:rsid w:val="00096BF0"/>
    <w:rsid w:val="000A244C"/>
    <w:rsid w:val="000B0414"/>
    <w:rsid w:val="000B04DF"/>
    <w:rsid w:val="000B7094"/>
    <w:rsid w:val="000C69F6"/>
    <w:rsid w:val="000C72FD"/>
    <w:rsid w:val="000D165C"/>
    <w:rsid w:val="000D2E1E"/>
    <w:rsid w:val="000D426F"/>
    <w:rsid w:val="000D4AB0"/>
    <w:rsid w:val="000D5453"/>
    <w:rsid w:val="000D7A92"/>
    <w:rsid w:val="000E0C3A"/>
    <w:rsid w:val="000E0D45"/>
    <w:rsid w:val="000E2498"/>
    <w:rsid w:val="000E451A"/>
    <w:rsid w:val="000E4A0E"/>
    <w:rsid w:val="000E4B31"/>
    <w:rsid w:val="000E69C6"/>
    <w:rsid w:val="000F03E5"/>
    <w:rsid w:val="000F1063"/>
    <w:rsid w:val="000F1E71"/>
    <w:rsid w:val="000F2F51"/>
    <w:rsid w:val="000F45B8"/>
    <w:rsid w:val="000F58F6"/>
    <w:rsid w:val="001000F1"/>
    <w:rsid w:val="00102552"/>
    <w:rsid w:val="00102E6E"/>
    <w:rsid w:val="001053CD"/>
    <w:rsid w:val="00105AE8"/>
    <w:rsid w:val="00105BBF"/>
    <w:rsid w:val="0011259D"/>
    <w:rsid w:val="00112DFE"/>
    <w:rsid w:val="001136BF"/>
    <w:rsid w:val="001142B6"/>
    <w:rsid w:val="00120D7D"/>
    <w:rsid w:val="00120EE3"/>
    <w:rsid w:val="001226AC"/>
    <w:rsid w:val="00123FEE"/>
    <w:rsid w:val="00133E35"/>
    <w:rsid w:val="001400C8"/>
    <w:rsid w:val="00141427"/>
    <w:rsid w:val="00144649"/>
    <w:rsid w:val="00150A94"/>
    <w:rsid w:val="00157C73"/>
    <w:rsid w:val="00170E6B"/>
    <w:rsid w:val="001728C2"/>
    <w:rsid w:val="00173FBA"/>
    <w:rsid w:val="00174A4F"/>
    <w:rsid w:val="001759D6"/>
    <w:rsid w:val="00177EA4"/>
    <w:rsid w:val="001811C3"/>
    <w:rsid w:val="00185D3A"/>
    <w:rsid w:val="00192DEE"/>
    <w:rsid w:val="001973C5"/>
    <w:rsid w:val="001A1CF6"/>
    <w:rsid w:val="001B3776"/>
    <w:rsid w:val="001B3918"/>
    <w:rsid w:val="001B55EE"/>
    <w:rsid w:val="001C042B"/>
    <w:rsid w:val="001D0449"/>
    <w:rsid w:val="001E1B6C"/>
    <w:rsid w:val="001E628E"/>
    <w:rsid w:val="001F3919"/>
    <w:rsid w:val="001F739A"/>
    <w:rsid w:val="00203B7B"/>
    <w:rsid w:val="00203CE4"/>
    <w:rsid w:val="00207ED2"/>
    <w:rsid w:val="0021395E"/>
    <w:rsid w:val="00217DEB"/>
    <w:rsid w:val="00220898"/>
    <w:rsid w:val="002213F1"/>
    <w:rsid w:val="00231AE8"/>
    <w:rsid w:val="0023277C"/>
    <w:rsid w:val="002340E4"/>
    <w:rsid w:val="00236113"/>
    <w:rsid w:val="0024213C"/>
    <w:rsid w:val="00242FCD"/>
    <w:rsid w:val="0024306C"/>
    <w:rsid w:val="0024329B"/>
    <w:rsid w:val="00247098"/>
    <w:rsid w:val="002518B3"/>
    <w:rsid w:val="002521AB"/>
    <w:rsid w:val="002542E7"/>
    <w:rsid w:val="00260916"/>
    <w:rsid w:val="002609C8"/>
    <w:rsid w:val="0026358A"/>
    <w:rsid w:val="00264459"/>
    <w:rsid w:val="00264B86"/>
    <w:rsid w:val="002710C2"/>
    <w:rsid w:val="00275E08"/>
    <w:rsid w:val="00282A52"/>
    <w:rsid w:val="002838E6"/>
    <w:rsid w:val="002843E9"/>
    <w:rsid w:val="002849AF"/>
    <w:rsid w:val="0029737F"/>
    <w:rsid w:val="002A13F4"/>
    <w:rsid w:val="002A2F71"/>
    <w:rsid w:val="002A3502"/>
    <w:rsid w:val="002A467B"/>
    <w:rsid w:val="002A76AC"/>
    <w:rsid w:val="002B01C9"/>
    <w:rsid w:val="002B49E6"/>
    <w:rsid w:val="002B6BCF"/>
    <w:rsid w:val="002B7BAD"/>
    <w:rsid w:val="002C2AFD"/>
    <w:rsid w:val="002C558A"/>
    <w:rsid w:val="002D04C4"/>
    <w:rsid w:val="002D0A7F"/>
    <w:rsid w:val="002D1195"/>
    <w:rsid w:val="002D2BEC"/>
    <w:rsid w:val="002D33DE"/>
    <w:rsid w:val="002D768B"/>
    <w:rsid w:val="002E0B5B"/>
    <w:rsid w:val="002E4967"/>
    <w:rsid w:val="002E60E4"/>
    <w:rsid w:val="002F1E26"/>
    <w:rsid w:val="002F41C2"/>
    <w:rsid w:val="0030043D"/>
    <w:rsid w:val="0030423D"/>
    <w:rsid w:val="003069B9"/>
    <w:rsid w:val="003123C2"/>
    <w:rsid w:val="00323B43"/>
    <w:rsid w:val="0032674B"/>
    <w:rsid w:val="00327310"/>
    <w:rsid w:val="00331212"/>
    <w:rsid w:val="00332BEA"/>
    <w:rsid w:val="00336FC2"/>
    <w:rsid w:val="00340EDA"/>
    <w:rsid w:val="003435E8"/>
    <w:rsid w:val="0034365F"/>
    <w:rsid w:val="00343859"/>
    <w:rsid w:val="00347B9E"/>
    <w:rsid w:val="0035322B"/>
    <w:rsid w:val="0035511E"/>
    <w:rsid w:val="00357397"/>
    <w:rsid w:val="003642A0"/>
    <w:rsid w:val="003646A0"/>
    <w:rsid w:val="00370EF4"/>
    <w:rsid w:val="00373298"/>
    <w:rsid w:val="0037362A"/>
    <w:rsid w:val="003745B7"/>
    <w:rsid w:val="00374A82"/>
    <w:rsid w:val="0038072E"/>
    <w:rsid w:val="003811DC"/>
    <w:rsid w:val="00390404"/>
    <w:rsid w:val="00395568"/>
    <w:rsid w:val="0039673C"/>
    <w:rsid w:val="00397421"/>
    <w:rsid w:val="003A55B9"/>
    <w:rsid w:val="003A698A"/>
    <w:rsid w:val="003B0BF2"/>
    <w:rsid w:val="003C1114"/>
    <w:rsid w:val="003C6FC0"/>
    <w:rsid w:val="003C6FEE"/>
    <w:rsid w:val="003D0370"/>
    <w:rsid w:val="003D06DA"/>
    <w:rsid w:val="003D0CAD"/>
    <w:rsid w:val="003D2A26"/>
    <w:rsid w:val="003D2D39"/>
    <w:rsid w:val="003D2F39"/>
    <w:rsid w:val="003D37D8"/>
    <w:rsid w:val="003D4C3A"/>
    <w:rsid w:val="003D5C93"/>
    <w:rsid w:val="003D5D53"/>
    <w:rsid w:val="003E030D"/>
    <w:rsid w:val="003E1A80"/>
    <w:rsid w:val="003E354F"/>
    <w:rsid w:val="003F0649"/>
    <w:rsid w:val="003F1355"/>
    <w:rsid w:val="003F16A5"/>
    <w:rsid w:val="003F1C19"/>
    <w:rsid w:val="004003B8"/>
    <w:rsid w:val="0040172B"/>
    <w:rsid w:val="00401839"/>
    <w:rsid w:val="00402A19"/>
    <w:rsid w:val="00403E6A"/>
    <w:rsid w:val="0040461B"/>
    <w:rsid w:val="00406C1C"/>
    <w:rsid w:val="0041067E"/>
    <w:rsid w:val="00413DB7"/>
    <w:rsid w:val="0042303E"/>
    <w:rsid w:val="00425155"/>
    <w:rsid w:val="00425789"/>
    <w:rsid w:val="004278C8"/>
    <w:rsid w:val="00434138"/>
    <w:rsid w:val="004358AB"/>
    <w:rsid w:val="00442CF7"/>
    <w:rsid w:val="00442E69"/>
    <w:rsid w:val="004508D8"/>
    <w:rsid w:val="0045319E"/>
    <w:rsid w:val="00454369"/>
    <w:rsid w:val="00456416"/>
    <w:rsid w:val="00462B10"/>
    <w:rsid w:val="004673BA"/>
    <w:rsid w:val="0047160F"/>
    <w:rsid w:val="00472206"/>
    <w:rsid w:val="00481234"/>
    <w:rsid w:val="0048295B"/>
    <w:rsid w:val="004873F0"/>
    <w:rsid w:val="00491194"/>
    <w:rsid w:val="004977F7"/>
    <w:rsid w:val="004A0434"/>
    <w:rsid w:val="004A4829"/>
    <w:rsid w:val="004A6234"/>
    <w:rsid w:val="004C0540"/>
    <w:rsid w:val="004C277D"/>
    <w:rsid w:val="004C7FF3"/>
    <w:rsid w:val="004D4F6B"/>
    <w:rsid w:val="004E27E1"/>
    <w:rsid w:val="004E41AB"/>
    <w:rsid w:val="004E5F0A"/>
    <w:rsid w:val="004E79AA"/>
    <w:rsid w:val="004F01EE"/>
    <w:rsid w:val="004F2CA5"/>
    <w:rsid w:val="004F307C"/>
    <w:rsid w:val="004F37A4"/>
    <w:rsid w:val="004F3FCA"/>
    <w:rsid w:val="004F4888"/>
    <w:rsid w:val="004F5F8D"/>
    <w:rsid w:val="004F6AAF"/>
    <w:rsid w:val="005036A4"/>
    <w:rsid w:val="0051523C"/>
    <w:rsid w:val="005157A1"/>
    <w:rsid w:val="005169FA"/>
    <w:rsid w:val="0052355E"/>
    <w:rsid w:val="00533376"/>
    <w:rsid w:val="0053472A"/>
    <w:rsid w:val="00534EAD"/>
    <w:rsid w:val="00542091"/>
    <w:rsid w:val="00542EC6"/>
    <w:rsid w:val="00542ED7"/>
    <w:rsid w:val="00543290"/>
    <w:rsid w:val="00545A34"/>
    <w:rsid w:val="0054611D"/>
    <w:rsid w:val="00547E05"/>
    <w:rsid w:val="0055137D"/>
    <w:rsid w:val="005525E1"/>
    <w:rsid w:val="0055743E"/>
    <w:rsid w:val="005667EE"/>
    <w:rsid w:val="005669CA"/>
    <w:rsid w:val="00575126"/>
    <w:rsid w:val="005817E0"/>
    <w:rsid w:val="00584DD5"/>
    <w:rsid w:val="0059008F"/>
    <w:rsid w:val="00591CA4"/>
    <w:rsid w:val="00593093"/>
    <w:rsid w:val="00593D69"/>
    <w:rsid w:val="005977AC"/>
    <w:rsid w:val="005A0A1B"/>
    <w:rsid w:val="005A6CB9"/>
    <w:rsid w:val="005B10F6"/>
    <w:rsid w:val="005B18EE"/>
    <w:rsid w:val="005B2912"/>
    <w:rsid w:val="005B29A3"/>
    <w:rsid w:val="005C62A2"/>
    <w:rsid w:val="005D5DC5"/>
    <w:rsid w:val="005D627C"/>
    <w:rsid w:val="005F40FB"/>
    <w:rsid w:val="005F4AAD"/>
    <w:rsid w:val="005F5668"/>
    <w:rsid w:val="0060195D"/>
    <w:rsid w:val="00611DB5"/>
    <w:rsid w:val="00612B40"/>
    <w:rsid w:val="006160B5"/>
    <w:rsid w:val="00617349"/>
    <w:rsid w:val="00624454"/>
    <w:rsid w:val="00624F36"/>
    <w:rsid w:val="00626DC6"/>
    <w:rsid w:val="00634B59"/>
    <w:rsid w:val="0064000D"/>
    <w:rsid w:val="00641352"/>
    <w:rsid w:val="0064211E"/>
    <w:rsid w:val="00642ADF"/>
    <w:rsid w:val="00642C1B"/>
    <w:rsid w:val="00643F7F"/>
    <w:rsid w:val="00646B80"/>
    <w:rsid w:val="0064728D"/>
    <w:rsid w:val="0065012B"/>
    <w:rsid w:val="006503C8"/>
    <w:rsid w:val="0065270D"/>
    <w:rsid w:val="00657381"/>
    <w:rsid w:val="00660A27"/>
    <w:rsid w:val="00663168"/>
    <w:rsid w:val="00664826"/>
    <w:rsid w:val="0066579F"/>
    <w:rsid w:val="00676684"/>
    <w:rsid w:val="006766BA"/>
    <w:rsid w:val="006767E9"/>
    <w:rsid w:val="0068314A"/>
    <w:rsid w:val="006863F6"/>
    <w:rsid w:val="00686D16"/>
    <w:rsid w:val="0068764C"/>
    <w:rsid w:val="00690BFA"/>
    <w:rsid w:val="006911EE"/>
    <w:rsid w:val="006939C3"/>
    <w:rsid w:val="00695043"/>
    <w:rsid w:val="006A4C3B"/>
    <w:rsid w:val="006B071D"/>
    <w:rsid w:val="006B5987"/>
    <w:rsid w:val="006C754C"/>
    <w:rsid w:val="006C7945"/>
    <w:rsid w:val="006D3572"/>
    <w:rsid w:val="006E3DD3"/>
    <w:rsid w:val="006F2C96"/>
    <w:rsid w:val="006F3BFC"/>
    <w:rsid w:val="006F4056"/>
    <w:rsid w:val="006F7132"/>
    <w:rsid w:val="007011E6"/>
    <w:rsid w:val="007016CB"/>
    <w:rsid w:val="00701E2B"/>
    <w:rsid w:val="0070359E"/>
    <w:rsid w:val="007105DE"/>
    <w:rsid w:val="007136C8"/>
    <w:rsid w:val="007137D9"/>
    <w:rsid w:val="00717572"/>
    <w:rsid w:val="00717E30"/>
    <w:rsid w:val="00720548"/>
    <w:rsid w:val="007218B7"/>
    <w:rsid w:val="0072529C"/>
    <w:rsid w:val="007377F6"/>
    <w:rsid w:val="0074245E"/>
    <w:rsid w:val="00745090"/>
    <w:rsid w:val="00746110"/>
    <w:rsid w:val="0075385A"/>
    <w:rsid w:val="0075458A"/>
    <w:rsid w:val="0075583D"/>
    <w:rsid w:val="00760FE5"/>
    <w:rsid w:val="00763CB4"/>
    <w:rsid w:val="007649B9"/>
    <w:rsid w:val="007665C1"/>
    <w:rsid w:val="007722BF"/>
    <w:rsid w:val="00773373"/>
    <w:rsid w:val="0077443C"/>
    <w:rsid w:val="0077591D"/>
    <w:rsid w:val="0078132B"/>
    <w:rsid w:val="00784232"/>
    <w:rsid w:val="00786FF0"/>
    <w:rsid w:val="00790C8A"/>
    <w:rsid w:val="007941E0"/>
    <w:rsid w:val="007967EF"/>
    <w:rsid w:val="007A006B"/>
    <w:rsid w:val="007A1969"/>
    <w:rsid w:val="007A2B74"/>
    <w:rsid w:val="007A3063"/>
    <w:rsid w:val="007B45EB"/>
    <w:rsid w:val="007C0B80"/>
    <w:rsid w:val="007C1E45"/>
    <w:rsid w:val="007C4CDD"/>
    <w:rsid w:val="007C5BBD"/>
    <w:rsid w:val="007C6A87"/>
    <w:rsid w:val="007D0589"/>
    <w:rsid w:val="007D1F5F"/>
    <w:rsid w:val="007D29F6"/>
    <w:rsid w:val="007D74AB"/>
    <w:rsid w:val="007D7557"/>
    <w:rsid w:val="007E117D"/>
    <w:rsid w:val="007E6377"/>
    <w:rsid w:val="007F09B7"/>
    <w:rsid w:val="007F5D57"/>
    <w:rsid w:val="00806397"/>
    <w:rsid w:val="008069B0"/>
    <w:rsid w:val="008073F4"/>
    <w:rsid w:val="008154F5"/>
    <w:rsid w:val="0081748B"/>
    <w:rsid w:val="00820256"/>
    <w:rsid w:val="00831ADA"/>
    <w:rsid w:val="00843BCF"/>
    <w:rsid w:val="00844223"/>
    <w:rsid w:val="00846301"/>
    <w:rsid w:val="00851B16"/>
    <w:rsid w:val="00851F18"/>
    <w:rsid w:val="00854BEE"/>
    <w:rsid w:val="008551FD"/>
    <w:rsid w:val="00862688"/>
    <w:rsid w:val="008639C7"/>
    <w:rsid w:val="0086495D"/>
    <w:rsid w:val="00864E78"/>
    <w:rsid w:val="00870148"/>
    <w:rsid w:val="0087197C"/>
    <w:rsid w:val="0088538C"/>
    <w:rsid w:val="008865AC"/>
    <w:rsid w:val="00890E32"/>
    <w:rsid w:val="008933B2"/>
    <w:rsid w:val="008948BF"/>
    <w:rsid w:val="008950BD"/>
    <w:rsid w:val="008A1298"/>
    <w:rsid w:val="008A59A8"/>
    <w:rsid w:val="008A5A0E"/>
    <w:rsid w:val="008A674C"/>
    <w:rsid w:val="008B120D"/>
    <w:rsid w:val="008B229C"/>
    <w:rsid w:val="008B391D"/>
    <w:rsid w:val="008B4526"/>
    <w:rsid w:val="008B72DE"/>
    <w:rsid w:val="008B7726"/>
    <w:rsid w:val="008C7CDD"/>
    <w:rsid w:val="008D0AEF"/>
    <w:rsid w:val="008D1ED8"/>
    <w:rsid w:val="008D4B11"/>
    <w:rsid w:val="008D55CA"/>
    <w:rsid w:val="008D74A3"/>
    <w:rsid w:val="008D7568"/>
    <w:rsid w:val="008E019D"/>
    <w:rsid w:val="008E5746"/>
    <w:rsid w:val="008F1785"/>
    <w:rsid w:val="008F2A43"/>
    <w:rsid w:val="008F2FB2"/>
    <w:rsid w:val="008F4CD4"/>
    <w:rsid w:val="008F510C"/>
    <w:rsid w:val="00910FED"/>
    <w:rsid w:val="009153AA"/>
    <w:rsid w:val="009218A3"/>
    <w:rsid w:val="00922A4C"/>
    <w:rsid w:val="009244B4"/>
    <w:rsid w:val="00932DED"/>
    <w:rsid w:val="00933258"/>
    <w:rsid w:val="00940E02"/>
    <w:rsid w:val="009441E1"/>
    <w:rsid w:val="00945492"/>
    <w:rsid w:val="00946815"/>
    <w:rsid w:val="009537A8"/>
    <w:rsid w:val="00954F08"/>
    <w:rsid w:val="00956520"/>
    <w:rsid w:val="009610A0"/>
    <w:rsid w:val="00963A68"/>
    <w:rsid w:val="009670A4"/>
    <w:rsid w:val="00970336"/>
    <w:rsid w:val="00977B4D"/>
    <w:rsid w:val="009826C9"/>
    <w:rsid w:val="00982DC1"/>
    <w:rsid w:val="009843F2"/>
    <w:rsid w:val="009845E6"/>
    <w:rsid w:val="00985FD4"/>
    <w:rsid w:val="00987105"/>
    <w:rsid w:val="00990404"/>
    <w:rsid w:val="00992DC8"/>
    <w:rsid w:val="00993FE6"/>
    <w:rsid w:val="009A5FA4"/>
    <w:rsid w:val="009B12A9"/>
    <w:rsid w:val="009B4531"/>
    <w:rsid w:val="009B6B98"/>
    <w:rsid w:val="009B71E8"/>
    <w:rsid w:val="009C3CEC"/>
    <w:rsid w:val="009C5A53"/>
    <w:rsid w:val="009C646E"/>
    <w:rsid w:val="009C6ADD"/>
    <w:rsid w:val="009C6C3F"/>
    <w:rsid w:val="009C7116"/>
    <w:rsid w:val="009D311E"/>
    <w:rsid w:val="009D50A1"/>
    <w:rsid w:val="009E04CF"/>
    <w:rsid w:val="009E1262"/>
    <w:rsid w:val="009E1D4E"/>
    <w:rsid w:val="009E64B2"/>
    <w:rsid w:val="009F4027"/>
    <w:rsid w:val="009F505D"/>
    <w:rsid w:val="00A04647"/>
    <w:rsid w:val="00A07BBD"/>
    <w:rsid w:val="00A10CFD"/>
    <w:rsid w:val="00A11BB2"/>
    <w:rsid w:val="00A12B5B"/>
    <w:rsid w:val="00A13984"/>
    <w:rsid w:val="00A13F67"/>
    <w:rsid w:val="00A20073"/>
    <w:rsid w:val="00A20378"/>
    <w:rsid w:val="00A2247B"/>
    <w:rsid w:val="00A24D14"/>
    <w:rsid w:val="00A278C5"/>
    <w:rsid w:val="00A27C2C"/>
    <w:rsid w:val="00A33CAB"/>
    <w:rsid w:val="00A35406"/>
    <w:rsid w:val="00A413C4"/>
    <w:rsid w:val="00A430C3"/>
    <w:rsid w:val="00A46977"/>
    <w:rsid w:val="00A528E5"/>
    <w:rsid w:val="00A576B5"/>
    <w:rsid w:val="00A608C5"/>
    <w:rsid w:val="00A66759"/>
    <w:rsid w:val="00A67100"/>
    <w:rsid w:val="00A67A9D"/>
    <w:rsid w:val="00A764CB"/>
    <w:rsid w:val="00A80B69"/>
    <w:rsid w:val="00A812C1"/>
    <w:rsid w:val="00A81BE0"/>
    <w:rsid w:val="00A82DDA"/>
    <w:rsid w:val="00A834AF"/>
    <w:rsid w:val="00A91871"/>
    <w:rsid w:val="00AA09AF"/>
    <w:rsid w:val="00AB03E6"/>
    <w:rsid w:val="00AB34F0"/>
    <w:rsid w:val="00AB35DD"/>
    <w:rsid w:val="00AB5F71"/>
    <w:rsid w:val="00AC03DB"/>
    <w:rsid w:val="00AC4EAC"/>
    <w:rsid w:val="00AC575F"/>
    <w:rsid w:val="00AC79FE"/>
    <w:rsid w:val="00AD3306"/>
    <w:rsid w:val="00AD3716"/>
    <w:rsid w:val="00AD3EAF"/>
    <w:rsid w:val="00AD5E94"/>
    <w:rsid w:val="00AD72DD"/>
    <w:rsid w:val="00AE0704"/>
    <w:rsid w:val="00AE6AD9"/>
    <w:rsid w:val="00AE73AE"/>
    <w:rsid w:val="00AF072F"/>
    <w:rsid w:val="00B0071D"/>
    <w:rsid w:val="00B052A1"/>
    <w:rsid w:val="00B11471"/>
    <w:rsid w:val="00B115A7"/>
    <w:rsid w:val="00B12C9F"/>
    <w:rsid w:val="00B13143"/>
    <w:rsid w:val="00B16A1F"/>
    <w:rsid w:val="00B20A1C"/>
    <w:rsid w:val="00B26C15"/>
    <w:rsid w:val="00B31E3F"/>
    <w:rsid w:val="00B35F53"/>
    <w:rsid w:val="00B36B0A"/>
    <w:rsid w:val="00B36D80"/>
    <w:rsid w:val="00B413D8"/>
    <w:rsid w:val="00B4551D"/>
    <w:rsid w:val="00B4792A"/>
    <w:rsid w:val="00B64AEC"/>
    <w:rsid w:val="00B70B12"/>
    <w:rsid w:val="00B7100F"/>
    <w:rsid w:val="00B75763"/>
    <w:rsid w:val="00B762AC"/>
    <w:rsid w:val="00B77BA0"/>
    <w:rsid w:val="00B85343"/>
    <w:rsid w:val="00B8641D"/>
    <w:rsid w:val="00B915F4"/>
    <w:rsid w:val="00B93BE4"/>
    <w:rsid w:val="00B94F95"/>
    <w:rsid w:val="00BA03CC"/>
    <w:rsid w:val="00BA1DFC"/>
    <w:rsid w:val="00BA7FED"/>
    <w:rsid w:val="00BC14A6"/>
    <w:rsid w:val="00BC3B05"/>
    <w:rsid w:val="00BC61FA"/>
    <w:rsid w:val="00BC7EC8"/>
    <w:rsid w:val="00BD1DD6"/>
    <w:rsid w:val="00BD33DF"/>
    <w:rsid w:val="00BD41BC"/>
    <w:rsid w:val="00BD4DA4"/>
    <w:rsid w:val="00BD5533"/>
    <w:rsid w:val="00BD6197"/>
    <w:rsid w:val="00BE196C"/>
    <w:rsid w:val="00BF0B64"/>
    <w:rsid w:val="00BF146B"/>
    <w:rsid w:val="00BF62F7"/>
    <w:rsid w:val="00BF6594"/>
    <w:rsid w:val="00BF6B4A"/>
    <w:rsid w:val="00BF6E02"/>
    <w:rsid w:val="00C02A5C"/>
    <w:rsid w:val="00C065C8"/>
    <w:rsid w:val="00C06B2E"/>
    <w:rsid w:val="00C149F4"/>
    <w:rsid w:val="00C16881"/>
    <w:rsid w:val="00C2005C"/>
    <w:rsid w:val="00C21CF6"/>
    <w:rsid w:val="00C33D86"/>
    <w:rsid w:val="00C34B18"/>
    <w:rsid w:val="00C40B07"/>
    <w:rsid w:val="00C418B2"/>
    <w:rsid w:val="00C42111"/>
    <w:rsid w:val="00C42999"/>
    <w:rsid w:val="00C461EB"/>
    <w:rsid w:val="00C514AC"/>
    <w:rsid w:val="00C54FEA"/>
    <w:rsid w:val="00C63EB3"/>
    <w:rsid w:val="00C65CE8"/>
    <w:rsid w:val="00C669B0"/>
    <w:rsid w:val="00C739E2"/>
    <w:rsid w:val="00C742C3"/>
    <w:rsid w:val="00C76F24"/>
    <w:rsid w:val="00C82430"/>
    <w:rsid w:val="00C90894"/>
    <w:rsid w:val="00C94918"/>
    <w:rsid w:val="00C94E0D"/>
    <w:rsid w:val="00C95303"/>
    <w:rsid w:val="00CA43B3"/>
    <w:rsid w:val="00CA74D1"/>
    <w:rsid w:val="00CB23BF"/>
    <w:rsid w:val="00CC0DB5"/>
    <w:rsid w:val="00CC3D12"/>
    <w:rsid w:val="00CC43DC"/>
    <w:rsid w:val="00CC498E"/>
    <w:rsid w:val="00CC538E"/>
    <w:rsid w:val="00CD45B0"/>
    <w:rsid w:val="00CD7D23"/>
    <w:rsid w:val="00CE002C"/>
    <w:rsid w:val="00CE2FFD"/>
    <w:rsid w:val="00CE4226"/>
    <w:rsid w:val="00CE6B8D"/>
    <w:rsid w:val="00CE7B77"/>
    <w:rsid w:val="00CF3BA6"/>
    <w:rsid w:val="00CF5111"/>
    <w:rsid w:val="00CF708E"/>
    <w:rsid w:val="00D00053"/>
    <w:rsid w:val="00D03040"/>
    <w:rsid w:val="00D12776"/>
    <w:rsid w:val="00D14E1F"/>
    <w:rsid w:val="00D14F9C"/>
    <w:rsid w:val="00D2133D"/>
    <w:rsid w:val="00D22E67"/>
    <w:rsid w:val="00D23E27"/>
    <w:rsid w:val="00D2785D"/>
    <w:rsid w:val="00D31BEE"/>
    <w:rsid w:val="00D332B8"/>
    <w:rsid w:val="00D3366C"/>
    <w:rsid w:val="00D34F26"/>
    <w:rsid w:val="00D3524C"/>
    <w:rsid w:val="00D36150"/>
    <w:rsid w:val="00D36A3B"/>
    <w:rsid w:val="00D450B8"/>
    <w:rsid w:val="00D45FB8"/>
    <w:rsid w:val="00D53779"/>
    <w:rsid w:val="00D6017F"/>
    <w:rsid w:val="00D63049"/>
    <w:rsid w:val="00D658D5"/>
    <w:rsid w:val="00D74377"/>
    <w:rsid w:val="00D744C1"/>
    <w:rsid w:val="00D74757"/>
    <w:rsid w:val="00D750DF"/>
    <w:rsid w:val="00D77352"/>
    <w:rsid w:val="00D86BB3"/>
    <w:rsid w:val="00D92A9C"/>
    <w:rsid w:val="00D961B2"/>
    <w:rsid w:val="00DA1517"/>
    <w:rsid w:val="00DA3BB6"/>
    <w:rsid w:val="00DB0723"/>
    <w:rsid w:val="00DB73AF"/>
    <w:rsid w:val="00DC1466"/>
    <w:rsid w:val="00DC52BC"/>
    <w:rsid w:val="00DC6B8C"/>
    <w:rsid w:val="00DD03D1"/>
    <w:rsid w:val="00DD3F21"/>
    <w:rsid w:val="00DD57E2"/>
    <w:rsid w:val="00DE013B"/>
    <w:rsid w:val="00DE0E7D"/>
    <w:rsid w:val="00DE15C4"/>
    <w:rsid w:val="00DE15DF"/>
    <w:rsid w:val="00DE21BB"/>
    <w:rsid w:val="00DE40F0"/>
    <w:rsid w:val="00DE5A17"/>
    <w:rsid w:val="00DE7236"/>
    <w:rsid w:val="00DE778A"/>
    <w:rsid w:val="00DF5B94"/>
    <w:rsid w:val="00E002B6"/>
    <w:rsid w:val="00E00670"/>
    <w:rsid w:val="00E01674"/>
    <w:rsid w:val="00E0544A"/>
    <w:rsid w:val="00E07013"/>
    <w:rsid w:val="00E07747"/>
    <w:rsid w:val="00E125BE"/>
    <w:rsid w:val="00E20DEE"/>
    <w:rsid w:val="00E22F3A"/>
    <w:rsid w:val="00E274C7"/>
    <w:rsid w:val="00E30C41"/>
    <w:rsid w:val="00E34D21"/>
    <w:rsid w:val="00E3655F"/>
    <w:rsid w:val="00E40587"/>
    <w:rsid w:val="00E42C77"/>
    <w:rsid w:val="00E46AE5"/>
    <w:rsid w:val="00E50023"/>
    <w:rsid w:val="00E51511"/>
    <w:rsid w:val="00E534D2"/>
    <w:rsid w:val="00E5352C"/>
    <w:rsid w:val="00E5423E"/>
    <w:rsid w:val="00E54C0B"/>
    <w:rsid w:val="00E57038"/>
    <w:rsid w:val="00E6461C"/>
    <w:rsid w:val="00E6507C"/>
    <w:rsid w:val="00E7306F"/>
    <w:rsid w:val="00E74B1C"/>
    <w:rsid w:val="00E828D5"/>
    <w:rsid w:val="00E91FE4"/>
    <w:rsid w:val="00E94968"/>
    <w:rsid w:val="00E95701"/>
    <w:rsid w:val="00E971FA"/>
    <w:rsid w:val="00EA6F72"/>
    <w:rsid w:val="00EB0829"/>
    <w:rsid w:val="00EB2C74"/>
    <w:rsid w:val="00EB3ECD"/>
    <w:rsid w:val="00EC365F"/>
    <w:rsid w:val="00EC3844"/>
    <w:rsid w:val="00EC6874"/>
    <w:rsid w:val="00EC6FAB"/>
    <w:rsid w:val="00ED16D9"/>
    <w:rsid w:val="00ED171B"/>
    <w:rsid w:val="00ED2A5D"/>
    <w:rsid w:val="00ED6718"/>
    <w:rsid w:val="00ED6B66"/>
    <w:rsid w:val="00EE5F6C"/>
    <w:rsid w:val="00EF01FD"/>
    <w:rsid w:val="00EF0F7F"/>
    <w:rsid w:val="00EF1896"/>
    <w:rsid w:val="00EF2110"/>
    <w:rsid w:val="00F117A9"/>
    <w:rsid w:val="00F158AA"/>
    <w:rsid w:val="00F168F1"/>
    <w:rsid w:val="00F210F6"/>
    <w:rsid w:val="00F218DF"/>
    <w:rsid w:val="00F302EA"/>
    <w:rsid w:val="00F372D7"/>
    <w:rsid w:val="00F3789D"/>
    <w:rsid w:val="00F37941"/>
    <w:rsid w:val="00F416F4"/>
    <w:rsid w:val="00F42247"/>
    <w:rsid w:val="00F44657"/>
    <w:rsid w:val="00F47509"/>
    <w:rsid w:val="00F50BE0"/>
    <w:rsid w:val="00F50CFE"/>
    <w:rsid w:val="00F527CE"/>
    <w:rsid w:val="00F55172"/>
    <w:rsid w:val="00F604A3"/>
    <w:rsid w:val="00F7034D"/>
    <w:rsid w:val="00F71FEF"/>
    <w:rsid w:val="00F726F7"/>
    <w:rsid w:val="00F7354B"/>
    <w:rsid w:val="00F744E5"/>
    <w:rsid w:val="00F7553F"/>
    <w:rsid w:val="00F8005E"/>
    <w:rsid w:val="00F80129"/>
    <w:rsid w:val="00F82BB4"/>
    <w:rsid w:val="00F8447D"/>
    <w:rsid w:val="00F8764B"/>
    <w:rsid w:val="00F9297E"/>
    <w:rsid w:val="00F94900"/>
    <w:rsid w:val="00FA2B7E"/>
    <w:rsid w:val="00FA3A0C"/>
    <w:rsid w:val="00FB3B6D"/>
    <w:rsid w:val="00FB4EF5"/>
    <w:rsid w:val="00FB4F9D"/>
    <w:rsid w:val="00FC123F"/>
    <w:rsid w:val="00FC29EA"/>
    <w:rsid w:val="00FC7918"/>
    <w:rsid w:val="00FD0019"/>
    <w:rsid w:val="00FD0249"/>
    <w:rsid w:val="00FD76AF"/>
    <w:rsid w:val="00FE3308"/>
    <w:rsid w:val="00FE3874"/>
    <w:rsid w:val="00FF0718"/>
    <w:rsid w:val="00FF21CF"/>
    <w:rsid w:val="00FF7574"/>
    <w:rsid w:val="012B74CD"/>
    <w:rsid w:val="01C62C89"/>
    <w:rsid w:val="01ED6232"/>
    <w:rsid w:val="03F9550D"/>
    <w:rsid w:val="05B420EF"/>
    <w:rsid w:val="06A52066"/>
    <w:rsid w:val="06E23FCB"/>
    <w:rsid w:val="09DD646C"/>
    <w:rsid w:val="0A1837E1"/>
    <w:rsid w:val="0C3930E8"/>
    <w:rsid w:val="0D66346E"/>
    <w:rsid w:val="0FDD3027"/>
    <w:rsid w:val="12A54AE2"/>
    <w:rsid w:val="14B77AAF"/>
    <w:rsid w:val="154B102F"/>
    <w:rsid w:val="15B22A35"/>
    <w:rsid w:val="15DA2F9F"/>
    <w:rsid w:val="16FF72CA"/>
    <w:rsid w:val="17956139"/>
    <w:rsid w:val="17FF0989"/>
    <w:rsid w:val="18305AD0"/>
    <w:rsid w:val="19780EC1"/>
    <w:rsid w:val="1EE60181"/>
    <w:rsid w:val="1F0C68BA"/>
    <w:rsid w:val="1F9D2CD8"/>
    <w:rsid w:val="20FD1411"/>
    <w:rsid w:val="2265260A"/>
    <w:rsid w:val="22D237BD"/>
    <w:rsid w:val="23F279EF"/>
    <w:rsid w:val="25E7234C"/>
    <w:rsid w:val="268B2AAA"/>
    <w:rsid w:val="26E77B9C"/>
    <w:rsid w:val="275B37CC"/>
    <w:rsid w:val="27764011"/>
    <w:rsid w:val="2C2770D5"/>
    <w:rsid w:val="2D1055C2"/>
    <w:rsid w:val="2DA3295A"/>
    <w:rsid w:val="2DDB619B"/>
    <w:rsid w:val="2F8C4439"/>
    <w:rsid w:val="30917FE6"/>
    <w:rsid w:val="312A432F"/>
    <w:rsid w:val="314D686F"/>
    <w:rsid w:val="33F5501D"/>
    <w:rsid w:val="34293FA5"/>
    <w:rsid w:val="36032C0E"/>
    <w:rsid w:val="362D07E1"/>
    <w:rsid w:val="385C50D0"/>
    <w:rsid w:val="38893D48"/>
    <w:rsid w:val="3AD95514"/>
    <w:rsid w:val="3B18643E"/>
    <w:rsid w:val="3ECF23CA"/>
    <w:rsid w:val="3ED91009"/>
    <w:rsid w:val="40A638B4"/>
    <w:rsid w:val="41431638"/>
    <w:rsid w:val="41E730BC"/>
    <w:rsid w:val="45B47585"/>
    <w:rsid w:val="469A4747"/>
    <w:rsid w:val="475351B2"/>
    <w:rsid w:val="47FC0456"/>
    <w:rsid w:val="4839669B"/>
    <w:rsid w:val="48F51793"/>
    <w:rsid w:val="4E1C794A"/>
    <w:rsid w:val="4E931173"/>
    <w:rsid w:val="4FBF2129"/>
    <w:rsid w:val="4FD147E3"/>
    <w:rsid w:val="55A75DA7"/>
    <w:rsid w:val="573E63D0"/>
    <w:rsid w:val="5808426A"/>
    <w:rsid w:val="587E718A"/>
    <w:rsid w:val="58993AFA"/>
    <w:rsid w:val="59904658"/>
    <w:rsid w:val="5B451335"/>
    <w:rsid w:val="5C9371FC"/>
    <w:rsid w:val="5CC50624"/>
    <w:rsid w:val="5CD638AD"/>
    <w:rsid w:val="5F123484"/>
    <w:rsid w:val="5FBD6931"/>
    <w:rsid w:val="601A60F3"/>
    <w:rsid w:val="62316EEB"/>
    <w:rsid w:val="62E95961"/>
    <w:rsid w:val="64051EC6"/>
    <w:rsid w:val="64E72BD0"/>
    <w:rsid w:val="650D189B"/>
    <w:rsid w:val="65747C9E"/>
    <w:rsid w:val="66906E4B"/>
    <w:rsid w:val="66F97EFC"/>
    <w:rsid w:val="67F749DA"/>
    <w:rsid w:val="69190488"/>
    <w:rsid w:val="69485226"/>
    <w:rsid w:val="69D412F7"/>
    <w:rsid w:val="6AEE7F20"/>
    <w:rsid w:val="6C2A624B"/>
    <w:rsid w:val="6D696609"/>
    <w:rsid w:val="6EA9738A"/>
    <w:rsid w:val="6EC50882"/>
    <w:rsid w:val="6F6C2F31"/>
    <w:rsid w:val="6FBD0A4E"/>
    <w:rsid w:val="73116E16"/>
    <w:rsid w:val="77FC6DEC"/>
    <w:rsid w:val="7C4D5F48"/>
    <w:rsid w:val="7D715F6D"/>
    <w:rsid w:val="7E56660F"/>
    <w:rsid w:val="7E9D1314"/>
    <w:rsid w:val="7F4F1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1E"/>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D311E"/>
    <w:pPr>
      <w:jc w:val="left"/>
    </w:pPr>
  </w:style>
  <w:style w:type="paragraph" w:styleId="a4">
    <w:name w:val="Date"/>
    <w:basedOn w:val="a"/>
    <w:next w:val="a"/>
    <w:link w:val="Char0"/>
    <w:uiPriority w:val="99"/>
    <w:semiHidden/>
    <w:unhideWhenUsed/>
    <w:qFormat/>
    <w:rsid w:val="009D311E"/>
    <w:pPr>
      <w:ind w:leftChars="2500" w:left="100"/>
    </w:pPr>
  </w:style>
  <w:style w:type="paragraph" w:styleId="a5">
    <w:name w:val="Balloon Text"/>
    <w:basedOn w:val="a"/>
    <w:link w:val="Char1"/>
    <w:uiPriority w:val="99"/>
    <w:semiHidden/>
    <w:unhideWhenUsed/>
    <w:qFormat/>
    <w:rsid w:val="009D311E"/>
    <w:rPr>
      <w:sz w:val="18"/>
      <w:szCs w:val="18"/>
    </w:rPr>
  </w:style>
  <w:style w:type="paragraph" w:styleId="a6">
    <w:name w:val="footer"/>
    <w:basedOn w:val="a"/>
    <w:link w:val="Char2"/>
    <w:uiPriority w:val="99"/>
    <w:unhideWhenUsed/>
    <w:qFormat/>
    <w:rsid w:val="009D311E"/>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D311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9D31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unhideWhenUsed/>
    <w:qFormat/>
    <w:rsid w:val="009D311E"/>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9D311E"/>
    <w:rPr>
      <w:b/>
      <w:bCs/>
    </w:rPr>
  </w:style>
  <w:style w:type="character" w:styleId="aa">
    <w:name w:val="annotation reference"/>
    <w:basedOn w:val="a0"/>
    <w:uiPriority w:val="99"/>
    <w:semiHidden/>
    <w:unhideWhenUsed/>
    <w:qFormat/>
    <w:rsid w:val="009D311E"/>
    <w:rPr>
      <w:sz w:val="21"/>
      <w:szCs w:val="21"/>
    </w:rPr>
  </w:style>
  <w:style w:type="paragraph" w:styleId="ab">
    <w:name w:val="List Paragraph"/>
    <w:basedOn w:val="a"/>
    <w:link w:val="Char5"/>
    <w:uiPriority w:val="34"/>
    <w:qFormat/>
    <w:rsid w:val="009D311E"/>
    <w:pPr>
      <w:ind w:firstLineChars="200" w:firstLine="420"/>
    </w:pPr>
  </w:style>
  <w:style w:type="character" w:customStyle="1" w:styleId="Char5">
    <w:name w:val="列出段落 Char"/>
    <w:basedOn w:val="a0"/>
    <w:link w:val="ab"/>
    <w:uiPriority w:val="34"/>
    <w:qFormat/>
    <w:rsid w:val="009D311E"/>
    <w:rPr>
      <w:rFonts w:eastAsiaTheme="minorEastAsia"/>
      <w:kern w:val="2"/>
      <w:sz w:val="21"/>
    </w:rPr>
  </w:style>
  <w:style w:type="character" w:customStyle="1" w:styleId="Char">
    <w:name w:val="批注文字 Char"/>
    <w:basedOn w:val="a0"/>
    <w:link w:val="a3"/>
    <w:uiPriority w:val="99"/>
    <w:semiHidden/>
    <w:qFormat/>
    <w:rsid w:val="009D311E"/>
    <w:rPr>
      <w:rFonts w:eastAsiaTheme="minorEastAsia"/>
      <w:kern w:val="2"/>
      <w:sz w:val="21"/>
    </w:rPr>
  </w:style>
  <w:style w:type="character" w:customStyle="1" w:styleId="Char4">
    <w:name w:val="批注主题 Char"/>
    <w:basedOn w:val="Char"/>
    <w:link w:val="a9"/>
    <w:uiPriority w:val="99"/>
    <w:semiHidden/>
    <w:qFormat/>
    <w:rsid w:val="009D311E"/>
    <w:rPr>
      <w:rFonts w:eastAsiaTheme="minorEastAsia"/>
      <w:b/>
      <w:bCs/>
      <w:kern w:val="2"/>
      <w:sz w:val="21"/>
    </w:rPr>
  </w:style>
  <w:style w:type="character" w:customStyle="1" w:styleId="Char1">
    <w:name w:val="批注框文本 Char"/>
    <w:basedOn w:val="a0"/>
    <w:link w:val="a5"/>
    <w:uiPriority w:val="99"/>
    <w:semiHidden/>
    <w:qFormat/>
    <w:rsid w:val="009D311E"/>
    <w:rPr>
      <w:rFonts w:eastAsiaTheme="minorEastAsia"/>
      <w:kern w:val="2"/>
      <w:sz w:val="18"/>
      <w:szCs w:val="18"/>
    </w:rPr>
  </w:style>
  <w:style w:type="character" w:customStyle="1" w:styleId="Char3">
    <w:name w:val="页眉 Char"/>
    <w:basedOn w:val="a0"/>
    <w:link w:val="a7"/>
    <w:uiPriority w:val="99"/>
    <w:qFormat/>
    <w:rsid w:val="009D311E"/>
    <w:rPr>
      <w:rFonts w:eastAsiaTheme="minorEastAsia"/>
      <w:kern w:val="2"/>
      <w:sz w:val="18"/>
      <w:szCs w:val="18"/>
    </w:rPr>
  </w:style>
  <w:style w:type="character" w:customStyle="1" w:styleId="Char2">
    <w:name w:val="页脚 Char"/>
    <w:basedOn w:val="a0"/>
    <w:link w:val="a6"/>
    <w:uiPriority w:val="99"/>
    <w:qFormat/>
    <w:rsid w:val="009D311E"/>
    <w:rPr>
      <w:rFonts w:eastAsiaTheme="minorEastAsia"/>
      <w:kern w:val="2"/>
      <w:sz w:val="18"/>
      <w:szCs w:val="18"/>
    </w:rPr>
  </w:style>
  <w:style w:type="character" w:customStyle="1" w:styleId="Char0">
    <w:name w:val="日期 Char"/>
    <w:basedOn w:val="a0"/>
    <w:link w:val="a4"/>
    <w:uiPriority w:val="99"/>
    <w:semiHidden/>
    <w:qFormat/>
    <w:rsid w:val="009D311E"/>
    <w:rPr>
      <w:rFonts w:eastAsiaTheme="minorEastAsia"/>
      <w:kern w:val="2"/>
      <w:sz w:val="21"/>
    </w:rPr>
  </w:style>
  <w:style w:type="character" w:customStyle="1" w:styleId="HTMLChar">
    <w:name w:val="HTML 预设格式 Char"/>
    <w:basedOn w:val="a0"/>
    <w:link w:val="HTML"/>
    <w:uiPriority w:val="99"/>
    <w:semiHidden/>
    <w:qFormat/>
    <w:rsid w:val="009D311E"/>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CFAA02-87AF-4ED7-8A92-82463E72951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7535</Words>
  <Characters>356</Characters>
  <Application>Microsoft Office Word</Application>
  <DocSecurity>4</DocSecurity>
  <Lines>2</Lines>
  <Paragraphs>15</Paragraphs>
  <ScaleCrop>false</ScaleCrop>
  <Company>Lenovo</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iholyangel@hotmail.com</cp:lastModifiedBy>
  <cp:revision>2</cp:revision>
  <cp:lastPrinted>2021-11-04T01:30:00Z</cp:lastPrinted>
  <dcterms:created xsi:type="dcterms:W3CDTF">2021-12-24T01:58:00Z</dcterms:created>
  <dcterms:modified xsi:type="dcterms:W3CDTF">2021-12-24T01:58:00Z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F8DEB8F2EC4843AEA39DEEA3CD554A50</vt:lpwstr>
  </property>
</Properties>
</file>