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E4" w:rsidRDefault="00E84A43">
      <w:pPr>
        <w:spacing w:line="560" w:lineRule="exact"/>
        <w:jc w:val="center"/>
        <w:rPr>
          <w:rFonts w:ascii="方正小标宋简体" w:eastAsia="方正小标宋简体"/>
          <w:bCs/>
          <w:kern w:val="0"/>
          <w:sz w:val="44"/>
          <w:szCs w:val="44"/>
        </w:rPr>
      </w:pPr>
      <w:r>
        <w:rPr>
          <w:rFonts w:ascii="方正小标宋简体" w:eastAsia="方正小标宋简体" w:hint="eastAsia"/>
          <w:bCs/>
          <w:kern w:val="0"/>
          <w:sz w:val="44"/>
          <w:szCs w:val="44"/>
        </w:rPr>
        <w:t>药品注册生产现场核查和上市前药品生产质量管理规范检查衔接工作程序</w:t>
      </w:r>
    </w:p>
    <w:p w:rsidR="00D14EE4" w:rsidRDefault="00E84A43">
      <w:pPr>
        <w:spacing w:line="560" w:lineRule="exact"/>
        <w:jc w:val="center"/>
        <w:rPr>
          <w:rFonts w:ascii="方正小标宋简体" w:eastAsia="方正小标宋简体"/>
          <w:bCs/>
          <w:kern w:val="0"/>
          <w:sz w:val="44"/>
          <w:szCs w:val="44"/>
        </w:rPr>
      </w:pPr>
      <w:r>
        <w:rPr>
          <w:rFonts w:ascii="方正小标宋简体" w:eastAsia="方正小标宋简体" w:hint="eastAsia"/>
          <w:bCs/>
          <w:kern w:val="0"/>
          <w:sz w:val="44"/>
          <w:szCs w:val="44"/>
        </w:rPr>
        <w:t>（试行）</w:t>
      </w:r>
    </w:p>
    <w:p w:rsidR="00D14EE4" w:rsidRDefault="00D14EE4">
      <w:pPr>
        <w:snapToGrid w:val="0"/>
        <w:spacing w:after="240" w:line="520" w:lineRule="exact"/>
        <w:rPr>
          <w:rFonts w:ascii="宋体" w:hAnsi="宋体"/>
          <w:b/>
          <w:kern w:val="0"/>
          <w:sz w:val="24"/>
        </w:rPr>
      </w:pPr>
    </w:p>
    <w:p w:rsidR="00D14EE4" w:rsidRDefault="00E84A43">
      <w:pPr>
        <w:snapToGrid w:val="0"/>
        <w:spacing w:line="560" w:lineRule="exact"/>
        <w:ind w:firstLineChars="200" w:firstLine="640"/>
        <w:rPr>
          <w:rFonts w:ascii="仿宋_GB2312" w:eastAsia="仿宋_GB2312" w:hAnsi="仿宋"/>
          <w:sz w:val="32"/>
          <w:szCs w:val="32"/>
        </w:rPr>
      </w:pPr>
      <w:r>
        <w:rPr>
          <w:rFonts w:eastAsia="黑体"/>
          <w:sz w:val="32"/>
          <w:szCs w:val="32"/>
        </w:rPr>
        <w:t>第一条</w:t>
      </w:r>
      <w:r>
        <w:rPr>
          <w:rFonts w:ascii="仿宋_GB2312" w:eastAsia="仿宋_GB2312" w:hAnsi="仿宋" w:hint="eastAsia"/>
          <w:sz w:val="32"/>
          <w:szCs w:val="32"/>
        </w:rPr>
        <w:t>为</w:t>
      </w:r>
      <w:r>
        <w:rPr>
          <w:rFonts w:ascii="仿宋_GB2312" w:eastAsia="仿宋_GB2312" w:hAnsi="仿宋"/>
          <w:sz w:val="32"/>
          <w:szCs w:val="32"/>
        </w:rPr>
        <w:t>规范</w:t>
      </w:r>
      <w:r>
        <w:rPr>
          <w:rFonts w:ascii="仿宋_GB2312" w:eastAsia="仿宋_GB2312" w:hAnsi="仿宋" w:hint="eastAsia"/>
          <w:sz w:val="32"/>
          <w:szCs w:val="32"/>
        </w:rPr>
        <w:t>药品注册生产现场核查（以下简称注册核查）和上市前</w:t>
      </w:r>
      <w:r>
        <w:rPr>
          <w:rFonts w:ascii="仿宋_GB2312" w:eastAsia="仿宋_GB2312" w:hAnsi="仿宋"/>
          <w:sz w:val="32"/>
          <w:szCs w:val="32"/>
        </w:rPr>
        <w:t>药品生产质量管理规范</w:t>
      </w:r>
      <w:r>
        <w:rPr>
          <w:rFonts w:ascii="仿宋_GB2312" w:eastAsia="仿宋_GB2312" w:hAnsi="仿宋" w:hint="eastAsia"/>
          <w:sz w:val="32"/>
          <w:szCs w:val="32"/>
        </w:rPr>
        <w:t>符合性检查（以下简称上市前GMP检查）的衔接，保证注册核查和上市前GMP检查同步实施工作的质量和效率，根据</w:t>
      </w:r>
      <w:r>
        <w:rPr>
          <w:rFonts w:ascii="仿宋_GB2312" w:eastAsia="仿宋_GB2312" w:hAnsi="仿宋"/>
          <w:sz w:val="32"/>
          <w:szCs w:val="32"/>
        </w:rPr>
        <w:t>《中华人民共和国药品管理法》《中华人民共和国疫苗管理法》《</w:t>
      </w:r>
      <w:r>
        <w:rPr>
          <w:rFonts w:ascii="仿宋_GB2312" w:eastAsia="仿宋_GB2312" w:hAnsi="仿宋" w:hint="eastAsia"/>
          <w:sz w:val="32"/>
          <w:szCs w:val="32"/>
        </w:rPr>
        <w:t>药品注册管理办法</w:t>
      </w:r>
      <w:r>
        <w:rPr>
          <w:rFonts w:ascii="仿宋_GB2312" w:eastAsia="仿宋_GB2312" w:hAnsi="仿宋"/>
          <w:sz w:val="32"/>
          <w:szCs w:val="32"/>
        </w:rPr>
        <w:t>》《</w:t>
      </w:r>
      <w:r>
        <w:rPr>
          <w:rFonts w:ascii="仿宋_GB2312" w:eastAsia="仿宋_GB2312" w:hAnsi="仿宋" w:hint="eastAsia"/>
          <w:sz w:val="32"/>
          <w:szCs w:val="32"/>
        </w:rPr>
        <w:t>药品生产监督管理办法</w:t>
      </w:r>
      <w:r>
        <w:rPr>
          <w:rFonts w:ascii="仿宋_GB2312" w:eastAsia="仿宋_GB2312" w:hAnsi="仿宋"/>
          <w:sz w:val="32"/>
          <w:szCs w:val="32"/>
        </w:rPr>
        <w:t>》</w:t>
      </w:r>
      <w:r>
        <w:rPr>
          <w:rFonts w:ascii="仿宋_GB2312" w:eastAsia="仿宋_GB2312" w:hAnsi="仿宋" w:hint="eastAsia"/>
          <w:sz w:val="32"/>
          <w:szCs w:val="32"/>
        </w:rPr>
        <w:t>，</w:t>
      </w:r>
      <w:r>
        <w:rPr>
          <w:rFonts w:ascii="仿宋_GB2312" w:eastAsia="仿宋_GB2312" w:hAnsi="仿宋"/>
          <w:sz w:val="32"/>
          <w:szCs w:val="32"/>
        </w:rPr>
        <w:t>制定本</w:t>
      </w:r>
      <w:r>
        <w:rPr>
          <w:rFonts w:ascii="仿宋_GB2312" w:eastAsia="仿宋_GB2312" w:hAnsi="仿宋" w:hint="eastAsia"/>
          <w:sz w:val="32"/>
          <w:szCs w:val="32"/>
        </w:rPr>
        <w:t>程序。</w:t>
      </w:r>
    </w:p>
    <w:p w:rsidR="00D14EE4" w:rsidRDefault="00E84A43" w:rsidP="00E532EB">
      <w:pPr>
        <w:snapToGrid w:val="0"/>
        <w:spacing w:line="560" w:lineRule="exact"/>
        <w:ind w:firstLineChars="200" w:firstLine="640"/>
        <w:rPr>
          <w:rFonts w:ascii="仿宋_GB2312" w:eastAsia="仿宋_GB2312" w:hAnsi="仿宋"/>
          <w:sz w:val="32"/>
          <w:szCs w:val="32"/>
        </w:rPr>
      </w:pPr>
      <w:r>
        <w:rPr>
          <w:rFonts w:eastAsia="黑体"/>
          <w:sz w:val="32"/>
          <w:szCs w:val="32"/>
        </w:rPr>
        <w:t>第二条</w:t>
      </w:r>
      <w:r>
        <w:rPr>
          <w:rFonts w:ascii="仿宋_GB2312" w:eastAsia="仿宋_GB2312" w:hAnsi="仿宋" w:hint="eastAsia"/>
          <w:sz w:val="32"/>
          <w:szCs w:val="32"/>
        </w:rPr>
        <w:t>国家药品监督管理局食品药品审核查验中心（以下简称核查中心）负责开展的药品注册生产现场核查与相关省、自治区、直辖市药品监督管理部门（以下简称省级局）负责开展的上市前</w:t>
      </w:r>
      <w:r>
        <w:rPr>
          <w:rFonts w:ascii="仿宋_GB2312" w:eastAsia="仿宋_GB2312" w:hAnsi="仿宋"/>
          <w:sz w:val="32"/>
          <w:szCs w:val="32"/>
        </w:rPr>
        <w:t>GMP</w:t>
      </w:r>
      <w:r>
        <w:rPr>
          <w:rFonts w:ascii="仿宋_GB2312" w:eastAsia="仿宋_GB2312" w:hAnsi="仿宋" w:hint="eastAsia"/>
          <w:sz w:val="32"/>
          <w:szCs w:val="32"/>
        </w:rPr>
        <w:t>检查同步实施的衔接工作，遵守本程序。</w:t>
      </w:r>
    </w:p>
    <w:p w:rsidR="00D14EE4" w:rsidRDefault="00E84A43">
      <w:pPr>
        <w:snapToGrid w:val="0"/>
        <w:spacing w:line="560" w:lineRule="exact"/>
        <w:ind w:firstLineChars="200" w:firstLine="640"/>
        <w:rPr>
          <w:rFonts w:ascii="仿宋_GB2312" w:eastAsia="仿宋_GB2312"/>
          <w:sz w:val="32"/>
          <w:szCs w:val="32"/>
        </w:rPr>
      </w:pPr>
      <w:r>
        <w:rPr>
          <w:rFonts w:ascii="黑体" w:eastAsia="黑体" w:hAnsi="黑体" w:hint="eastAsia"/>
          <w:sz w:val="32"/>
          <w:szCs w:val="32"/>
        </w:rPr>
        <w:t>第三条</w:t>
      </w:r>
      <w:r>
        <w:rPr>
          <w:rFonts w:ascii="仿宋_GB2312" w:eastAsia="仿宋_GB2312"/>
          <w:sz w:val="32"/>
          <w:szCs w:val="32"/>
        </w:rPr>
        <w:t>核查中心</w:t>
      </w:r>
      <w:r>
        <w:rPr>
          <w:rFonts w:ascii="仿宋_GB2312" w:eastAsia="仿宋_GB2312" w:hint="eastAsia"/>
          <w:sz w:val="32"/>
          <w:szCs w:val="32"/>
        </w:rPr>
        <w:t>协调省级局</w:t>
      </w:r>
      <w:r>
        <w:rPr>
          <w:rFonts w:ascii="仿宋_GB2312" w:eastAsia="仿宋_GB2312"/>
          <w:sz w:val="32"/>
          <w:szCs w:val="32"/>
        </w:rPr>
        <w:t>同步</w:t>
      </w:r>
      <w:r>
        <w:rPr>
          <w:rFonts w:ascii="仿宋_GB2312" w:eastAsia="仿宋_GB2312" w:hint="eastAsia"/>
          <w:sz w:val="32"/>
          <w:szCs w:val="32"/>
        </w:rPr>
        <w:t>实施检查工作时，双方应当根据法规要求和各自职能，</w:t>
      </w:r>
      <w:r>
        <w:rPr>
          <w:rFonts w:ascii="仿宋_GB2312" w:eastAsia="仿宋_GB2312"/>
          <w:sz w:val="32"/>
          <w:szCs w:val="32"/>
        </w:rPr>
        <w:t>遵循</w:t>
      </w:r>
      <w:r>
        <w:rPr>
          <w:rFonts w:ascii="仿宋_GB2312" w:eastAsia="仿宋_GB2312" w:hint="eastAsia"/>
          <w:sz w:val="32"/>
          <w:szCs w:val="32"/>
        </w:rPr>
        <w:t>风险管理的理念，共同合作，保证注册核查</w:t>
      </w:r>
      <w:r>
        <w:rPr>
          <w:rFonts w:ascii="仿宋_GB2312" w:eastAsia="仿宋_GB2312"/>
          <w:sz w:val="32"/>
          <w:szCs w:val="32"/>
        </w:rPr>
        <w:t>与上市前</w:t>
      </w:r>
      <w:r>
        <w:rPr>
          <w:rFonts w:ascii="仿宋_GB2312" w:eastAsia="仿宋_GB2312" w:hint="eastAsia"/>
          <w:sz w:val="32"/>
          <w:szCs w:val="32"/>
        </w:rPr>
        <w:t>GMP检查的</w:t>
      </w:r>
      <w:r>
        <w:rPr>
          <w:rFonts w:ascii="仿宋_GB2312" w:eastAsia="仿宋_GB2312"/>
          <w:sz w:val="32"/>
          <w:szCs w:val="32"/>
        </w:rPr>
        <w:t>有机衔接</w:t>
      </w:r>
      <w:r>
        <w:rPr>
          <w:rFonts w:ascii="仿宋_GB2312" w:eastAsia="仿宋_GB2312" w:hint="eastAsia"/>
          <w:sz w:val="32"/>
          <w:szCs w:val="32"/>
        </w:rPr>
        <w:t>。</w:t>
      </w:r>
    </w:p>
    <w:p w:rsidR="00D14EE4" w:rsidRDefault="00E84A43">
      <w:pPr>
        <w:snapToGrid w:val="0"/>
        <w:spacing w:line="560" w:lineRule="exact"/>
        <w:ind w:firstLineChars="200" w:firstLine="640"/>
        <w:rPr>
          <w:rFonts w:ascii="仿宋_GB2312" w:eastAsia="仿宋_GB2312" w:hAnsi="仿宋"/>
          <w:sz w:val="32"/>
          <w:szCs w:val="32"/>
        </w:rPr>
      </w:pPr>
      <w:r>
        <w:rPr>
          <w:rFonts w:eastAsia="黑体"/>
          <w:sz w:val="32"/>
          <w:szCs w:val="32"/>
        </w:rPr>
        <w:t>第</w:t>
      </w:r>
      <w:r>
        <w:rPr>
          <w:rFonts w:eastAsia="黑体" w:hint="eastAsia"/>
          <w:sz w:val="32"/>
          <w:szCs w:val="32"/>
        </w:rPr>
        <w:t>四</w:t>
      </w:r>
      <w:r>
        <w:rPr>
          <w:rFonts w:eastAsia="黑体"/>
          <w:sz w:val="32"/>
          <w:szCs w:val="32"/>
        </w:rPr>
        <w:t>条</w:t>
      </w:r>
      <w:r>
        <w:rPr>
          <w:rFonts w:ascii="仿宋_GB2312" w:eastAsia="仿宋_GB2312" w:hAnsi="仿宋" w:hint="eastAsia"/>
          <w:sz w:val="32"/>
          <w:szCs w:val="32"/>
        </w:rPr>
        <w:t>国家药品监督管理局药品审评中心（以下简称药品审评中心）</w:t>
      </w:r>
      <w:r>
        <w:rPr>
          <w:rFonts w:ascii="仿宋_GB2312" w:eastAsia="仿宋_GB2312" w:hAnsi="仿宋"/>
          <w:sz w:val="32"/>
          <w:szCs w:val="32"/>
        </w:rPr>
        <w:t>在药品注册申请审评期间，决定启动注册核查的，通知核查中心组织实施核查，提供核查所需的相关材料</w:t>
      </w:r>
      <w:r>
        <w:rPr>
          <w:rFonts w:ascii="仿宋_GB2312" w:eastAsia="仿宋_GB2312" w:hAnsi="仿宋" w:hint="eastAsia"/>
          <w:sz w:val="32"/>
          <w:szCs w:val="32"/>
        </w:rPr>
        <w:t>，</w:t>
      </w:r>
      <w:r>
        <w:rPr>
          <w:rFonts w:ascii="仿宋_GB2312" w:eastAsia="仿宋_GB2312" w:hAnsi="仿宋"/>
          <w:sz w:val="32"/>
          <w:szCs w:val="32"/>
        </w:rPr>
        <w:t>同时告知</w:t>
      </w:r>
      <w:r>
        <w:rPr>
          <w:rFonts w:ascii="仿宋_GB2312" w:eastAsia="仿宋_GB2312" w:hAnsi="仿宋" w:hint="eastAsia"/>
          <w:sz w:val="32"/>
          <w:szCs w:val="32"/>
        </w:rPr>
        <w:t>申请人以及申请人或者生产企业所在地省级局。</w:t>
      </w:r>
    </w:p>
    <w:p w:rsidR="00D14EE4" w:rsidRDefault="00E84A4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按规定应当进行上市前GMP检查的，省级局认为需要与药品注册生产现场核查同步开展时，应当在收到药品审评</w:t>
      </w:r>
      <w:r>
        <w:rPr>
          <w:rFonts w:ascii="仿宋_GB2312" w:eastAsia="仿宋_GB2312" w:hAnsi="仿宋" w:hint="eastAsia"/>
          <w:sz w:val="32"/>
          <w:szCs w:val="32"/>
        </w:rPr>
        <w:lastRenderedPageBreak/>
        <w:t>中心通知5日内告知核查中心沟通协商。</w:t>
      </w:r>
    </w:p>
    <w:p w:rsidR="00D14EE4" w:rsidRDefault="00E84A43">
      <w:pPr>
        <w:snapToGrid w:val="0"/>
        <w:spacing w:line="560" w:lineRule="exact"/>
        <w:ind w:firstLineChars="200" w:firstLine="640"/>
        <w:rPr>
          <w:rFonts w:ascii="仿宋_GB2312" w:eastAsia="仿宋_GB2312" w:hAnsi="仿宋"/>
          <w:sz w:val="32"/>
          <w:szCs w:val="32"/>
        </w:rPr>
      </w:pPr>
      <w:r>
        <w:rPr>
          <w:rFonts w:ascii="黑体" w:eastAsia="黑体" w:hAnsi="黑体" w:hint="eastAsia"/>
          <w:sz w:val="32"/>
          <w:szCs w:val="32"/>
        </w:rPr>
        <w:t>第五条</w:t>
      </w:r>
      <w:r>
        <w:rPr>
          <w:rFonts w:ascii="仿宋_GB2312" w:eastAsia="仿宋_GB2312" w:hAnsi="仿宋" w:hint="eastAsia"/>
          <w:sz w:val="32"/>
          <w:szCs w:val="32"/>
        </w:rPr>
        <w:t>核查中心根据品种的特性、工艺、风险等情况，在与申请人沟通确认检查安排后，同省级局共同商定工作安排，明确检查组组成方式和检查时间。</w:t>
      </w:r>
    </w:p>
    <w:p w:rsidR="00D14EE4" w:rsidRDefault="00E84A43">
      <w:pPr>
        <w:snapToGrid w:val="0"/>
        <w:spacing w:line="560" w:lineRule="exact"/>
        <w:ind w:firstLineChars="200" w:firstLine="640"/>
        <w:rPr>
          <w:rFonts w:eastAsia="仿宋_GB2312"/>
          <w:sz w:val="32"/>
          <w:szCs w:val="32"/>
        </w:rPr>
      </w:pPr>
      <w:r>
        <w:rPr>
          <w:rFonts w:eastAsia="黑体"/>
          <w:sz w:val="32"/>
          <w:szCs w:val="32"/>
        </w:rPr>
        <w:t>第</w:t>
      </w:r>
      <w:r>
        <w:rPr>
          <w:rFonts w:eastAsia="黑体" w:hint="eastAsia"/>
          <w:sz w:val="32"/>
          <w:szCs w:val="32"/>
        </w:rPr>
        <w:t>六</w:t>
      </w:r>
      <w:r>
        <w:rPr>
          <w:rFonts w:eastAsia="黑体"/>
          <w:sz w:val="32"/>
          <w:szCs w:val="32"/>
        </w:rPr>
        <w:t>条</w:t>
      </w:r>
      <w:r>
        <w:rPr>
          <w:rFonts w:eastAsia="仿宋_GB2312" w:hint="eastAsia"/>
          <w:sz w:val="32"/>
          <w:szCs w:val="32"/>
        </w:rPr>
        <w:t>根据法规要求和职能，核查中心和省级局按程序</w:t>
      </w:r>
      <w:r>
        <w:rPr>
          <w:rFonts w:eastAsia="仿宋_GB2312"/>
          <w:sz w:val="32"/>
          <w:szCs w:val="32"/>
        </w:rPr>
        <w:t>组</w:t>
      </w:r>
      <w:r>
        <w:rPr>
          <w:rFonts w:eastAsia="仿宋_GB2312" w:hint="eastAsia"/>
          <w:sz w:val="32"/>
          <w:szCs w:val="32"/>
        </w:rPr>
        <w:t>建检查组，完成药品注册现场核查和上市前</w:t>
      </w:r>
      <w:r>
        <w:rPr>
          <w:rFonts w:ascii="仿宋_GB2312" w:eastAsia="仿宋_GB2312" w:hAnsi="仿宋" w:hint="eastAsia"/>
          <w:sz w:val="32"/>
          <w:szCs w:val="32"/>
        </w:rPr>
        <w:t>GMP</w:t>
      </w:r>
      <w:r>
        <w:rPr>
          <w:rFonts w:eastAsia="仿宋_GB2312" w:hint="eastAsia"/>
          <w:sz w:val="32"/>
          <w:szCs w:val="32"/>
        </w:rPr>
        <w:t>检查工作。</w:t>
      </w:r>
    </w:p>
    <w:p w:rsidR="00D14EE4" w:rsidRDefault="00E84A4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核查中心和省级局可分别组建检查组，或共同组建一个检查组。原则上注册核查与上市前GMP检查选择在同一生产周期内开展。</w:t>
      </w:r>
    </w:p>
    <w:p w:rsidR="00D14EE4" w:rsidRDefault="00E84A43">
      <w:pPr>
        <w:snapToGrid w:val="0"/>
        <w:spacing w:line="560" w:lineRule="exact"/>
        <w:ind w:firstLineChars="200" w:firstLine="640"/>
        <w:rPr>
          <w:rFonts w:ascii="仿宋_GB2312" w:eastAsia="仿宋_GB2312" w:hAnsi="仿宋"/>
          <w:sz w:val="32"/>
          <w:szCs w:val="32"/>
        </w:rPr>
      </w:pPr>
      <w:r>
        <w:rPr>
          <w:rFonts w:eastAsia="黑体"/>
          <w:sz w:val="32"/>
          <w:szCs w:val="32"/>
        </w:rPr>
        <w:t>第</w:t>
      </w:r>
      <w:r>
        <w:rPr>
          <w:rFonts w:eastAsia="黑体" w:hint="eastAsia"/>
          <w:sz w:val="32"/>
          <w:szCs w:val="32"/>
        </w:rPr>
        <w:t>七</w:t>
      </w:r>
      <w:r>
        <w:rPr>
          <w:rFonts w:eastAsia="黑体"/>
          <w:sz w:val="32"/>
          <w:szCs w:val="32"/>
        </w:rPr>
        <w:t>条</w:t>
      </w:r>
      <w:r>
        <w:rPr>
          <w:rFonts w:ascii="仿宋_GB2312" w:eastAsia="仿宋_GB2312" w:hAnsi="仿宋" w:hint="eastAsia"/>
          <w:sz w:val="32"/>
          <w:szCs w:val="32"/>
        </w:rPr>
        <w:t>检查员的专业背景、数量等应当结合检查品种的特性、工艺和风险，以及药品的生产条件等实际情况进行确定。</w:t>
      </w:r>
    </w:p>
    <w:p w:rsidR="00D14EE4" w:rsidRDefault="00E84A4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如共同组建检查组，检查组长和组员均应为国家药品GMP检查员。检查组长由核查中心和省级局共同协商确定。</w:t>
      </w:r>
    </w:p>
    <w:p w:rsidR="00D14EE4" w:rsidRDefault="00E84A43">
      <w:pPr>
        <w:snapToGrid w:val="0"/>
        <w:spacing w:line="560" w:lineRule="exact"/>
        <w:ind w:firstLineChars="200" w:firstLine="640"/>
        <w:rPr>
          <w:rFonts w:ascii="仿宋_GB2312" w:eastAsia="仿宋_GB2312" w:hAnsi="仿宋"/>
          <w:sz w:val="32"/>
          <w:szCs w:val="32"/>
        </w:rPr>
      </w:pPr>
      <w:r>
        <w:rPr>
          <w:rFonts w:eastAsia="黑体"/>
          <w:sz w:val="32"/>
          <w:szCs w:val="32"/>
        </w:rPr>
        <w:t>第</w:t>
      </w:r>
      <w:r>
        <w:rPr>
          <w:rFonts w:eastAsia="黑体" w:hint="eastAsia"/>
          <w:sz w:val="32"/>
          <w:szCs w:val="32"/>
        </w:rPr>
        <w:t>八</w:t>
      </w:r>
      <w:r>
        <w:rPr>
          <w:rFonts w:eastAsia="黑体"/>
          <w:sz w:val="32"/>
          <w:szCs w:val="32"/>
        </w:rPr>
        <w:t>条</w:t>
      </w:r>
      <w:r>
        <w:rPr>
          <w:rFonts w:ascii="仿宋_GB2312" w:eastAsia="仿宋_GB2312" w:hAnsi="仿宋" w:hint="eastAsia"/>
          <w:sz w:val="32"/>
          <w:szCs w:val="32"/>
        </w:rPr>
        <w:t>核查/检查期间，检查组应按照制定的核查/检查方案实施检查。如为独立的两个检查组，在履行各自职责的同时保持良好沟通和合作，例如合并召开首、末次会议，重大问题共同商议等。</w:t>
      </w:r>
    </w:p>
    <w:p w:rsidR="00D14EE4" w:rsidRDefault="00E84A43">
      <w:pPr>
        <w:snapToGrid w:val="0"/>
        <w:spacing w:line="560" w:lineRule="exact"/>
        <w:ind w:firstLineChars="200" w:firstLine="640"/>
        <w:rPr>
          <w:rFonts w:ascii="仿宋_GB2312" w:eastAsia="仿宋_GB2312" w:hAnsi="仿宋"/>
          <w:sz w:val="32"/>
          <w:szCs w:val="32"/>
        </w:rPr>
      </w:pPr>
      <w:r>
        <w:rPr>
          <w:rFonts w:eastAsia="黑体"/>
          <w:sz w:val="32"/>
          <w:szCs w:val="32"/>
        </w:rPr>
        <w:t>第</w:t>
      </w:r>
      <w:r>
        <w:rPr>
          <w:rFonts w:eastAsia="黑体" w:hint="eastAsia"/>
          <w:sz w:val="32"/>
          <w:szCs w:val="32"/>
        </w:rPr>
        <w:t>九</w:t>
      </w:r>
      <w:r>
        <w:rPr>
          <w:rFonts w:eastAsia="黑体"/>
          <w:sz w:val="32"/>
          <w:szCs w:val="32"/>
        </w:rPr>
        <w:t>条</w:t>
      </w:r>
      <w:r>
        <w:rPr>
          <w:rFonts w:ascii="仿宋_GB2312" w:eastAsia="仿宋_GB2312" w:hint="eastAsia"/>
          <w:sz w:val="32"/>
          <w:szCs w:val="32"/>
        </w:rPr>
        <w:t>检查组</w:t>
      </w:r>
      <w:r>
        <w:rPr>
          <w:rFonts w:ascii="仿宋_GB2312" w:eastAsia="仿宋_GB2312" w:hAnsi="仿宋" w:hint="eastAsia"/>
          <w:sz w:val="32"/>
          <w:szCs w:val="32"/>
        </w:rPr>
        <w:t>依据现场检查情况，分别撰写注册核查、上市前GMP检查报告，分别</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注册核查、上市前GMP检查结论。</w:t>
      </w:r>
    </w:p>
    <w:p w:rsidR="00D14EE4" w:rsidRDefault="00E84A43">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检查结束后，检查组将注册核查报告（一份）及药品现场核查问题</w:t>
      </w:r>
      <w:proofErr w:type="gramStart"/>
      <w:r>
        <w:rPr>
          <w:rFonts w:ascii="仿宋_GB2312" w:eastAsia="仿宋_GB2312" w:hAnsi="仿宋" w:hint="eastAsia"/>
          <w:sz w:val="32"/>
          <w:szCs w:val="32"/>
        </w:rPr>
        <w:t>表正式</w:t>
      </w:r>
      <w:proofErr w:type="gramEnd"/>
      <w:r>
        <w:rPr>
          <w:rFonts w:ascii="仿宋_GB2312" w:eastAsia="仿宋_GB2312" w:hAnsi="仿宋" w:hint="eastAsia"/>
          <w:sz w:val="32"/>
          <w:szCs w:val="32"/>
        </w:rPr>
        <w:t>交观察员</w:t>
      </w:r>
      <w:proofErr w:type="gramStart"/>
      <w:r>
        <w:rPr>
          <w:rFonts w:ascii="仿宋_GB2312" w:eastAsia="仿宋_GB2312" w:hAnsi="仿宋" w:hint="eastAsia"/>
          <w:sz w:val="32"/>
          <w:szCs w:val="32"/>
        </w:rPr>
        <w:t>送相关</w:t>
      </w:r>
      <w:proofErr w:type="gramEnd"/>
      <w:r>
        <w:rPr>
          <w:rFonts w:ascii="仿宋_GB2312" w:eastAsia="仿宋_GB2312" w:hAnsi="仿宋" w:hint="eastAsia"/>
          <w:sz w:val="32"/>
          <w:szCs w:val="32"/>
        </w:rPr>
        <w:t>省级局。</w:t>
      </w:r>
    </w:p>
    <w:p w:rsidR="00D14EE4" w:rsidRDefault="00E84A43">
      <w:pPr>
        <w:snapToGrid w:val="0"/>
        <w:spacing w:line="560" w:lineRule="exact"/>
        <w:ind w:firstLineChars="200" w:firstLine="640"/>
        <w:rPr>
          <w:rFonts w:ascii="仿宋_GB2312" w:eastAsia="仿宋_GB2312" w:hAnsi="仿宋"/>
          <w:sz w:val="32"/>
          <w:szCs w:val="32"/>
        </w:rPr>
      </w:pPr>
      <w:r>
        <w:rPr>
          <w:rFonts w:eastAsia="黑体" w:hint="eastAsia"/>
          <w:sz w:val="32"/>
          <w:szCs w:val="32"/>
          <w:shd w:val="clear" w:color="auto" w:fill="FFFFFF"/>
        </w:rPr>
        <w:lastRenderedPageBreak/>
        <w:t>第十条</w:t>
      </w:r>
      <w:r>
        <w:rPr>
          <w:rFonts w:ascii="仿宋_GB2312" w:eastAsia="仿宋_GB2312" w:hAnsi="仿宋" w:hint="eastAsia"/>
          <w:sz w:val="32"/>
          <w:szCs w:val="32"/>
        </w:rPr>
        <w:t>核查中心和省级局建立日常沟通交流机制和信息共享机制，保证注册核查与上市前</w:t>
      </w:r>
      <w:r>
        <w:rPr>
          <w:rFonts w:ascii="仿宋_GB2312" w:eastAsia="仿宋_GB2312" w:hAnsi="仿宋"/>
          <w:sz w:val="32"/>
          <w:szCs w:val="32"/>
        </w:rPr>
        <w:t>GMP</w:t>
      </w:r>
      <w:r>
        <w:rPr>
          <w:rFonts w:ascii="仿宋_GB2312" w:eastAsia="仿宋_GB2312" w:hAnsi="仿宋" w:hint="eastAsia"/>
          <w:sz w:val="32"/>
          <w:szCs w:val="32"/>
        </w:rPr>
        <w:t>检查工作的衔接工作规范有序。</w:t>
      </w:r>
    </w:p>
    <w:p w:rsidR="00D14EE4" w:rsidRDefault="00E84A43">
      <w:pPr>
        <w:snapToGrid w:val="0"/>
        <w:spacing w:line="560" w:lineRule="exact"/>
        <w:ind w:firstLineChars="200" w:firstLine="640"/>
        <w:rPr>
          <w:rFonts w:eastAsia="仿宋_GB2312"/>
          <w:sz w:val="32"/>
          <w:szCs w:val="32"/>
          <w:shd w:val="clear" w:color="auto" w:fill="FFFFFF"/>
        </w:rPr>
      </w:pPr>
      <w:r>
        <w:rPr>
          <w:rFonts w:eastAsia="黑体" w:hint="eastAsia"/>
          <w:sz w:val="32"/>
          <w:szCs w:val="32"/>
          <w:shd w:val="clear" w:color="auto" w:fill="FFFFFF"/>
        </w:rPr>
        <w:t>第十一条</w:t>
      </w:r>
      <w:r>
        <w:rPr>
          <w:rFonts w:eastAsia="仿宋_GB2312" w:hint="eastAsia"/>
          <w:sz w:val="32"/>
          <w:szCs w:val="32"/>
          <w:shd w:val="clear" w:color="auto" w:fill="FFFFFF"/>
        </w:rPr>
        <w:t>本程序自</w:t>
      </w:r>
      <w:r>
        <w:rPr>
          <w:rFonts w:eastAsia="仿宋_GB2312" w:hint="eastAsia"/>
          <w:sz w:val="32"/>
          <w:szCs w:val="32"/>
          <w:shd w:val="clear" w:color="auto" w:fill="FFFFFF"/>
        </w:rPr>
        <w:t>2022</w:t>
      </w:r>
      <w:r>
        <w:rPr>
          <w:rFonts w:eastAsia="仿宋_GB2312" w:hint="eastAsia"/>
          <w:sz w:val="32"/>
          <w:szCs w:val="32"/>
          <w:shd w:val="clear" w:color="auto" w:fill="FFFFFF"/>
        </w:rPr>
        <w:t>年</w:t>
      </w:r>
      <w:r>
        <w:rPr>
          <w:rFonts w:eastAsia="仿宋_GB2312" w:hint="eastAsia"/>
          <w:sz w:val="32"/>
          <w:szCs w:val="32"/>
          <w:shd w:val="clear" w:color="auto" w:fill="FFFFFF"/>
        </w:rPr>
        <w:t>1</w:t>
      </w:r>
      <w:r>
        <w:rPr>
          <w:rFonts w:eastAsia="仿宋_GB2312" w:hint="eastAsia"/>
          <w:sz w:val="32"/>
          <w:szCs w:val="32"/>
          <w:shd w:val="clear" w:color="auto" w:fill="FFFFFF"/>
        </w:rPr>
        <w:t>月</w:t>
      </w:r>
      <w:r>
        <w:rPr>
          <w:rFonts w:eastAsia="仿宋_GB2312" w:hint="eastAsia"/>
          <w:sz w:val="32"/>
          <w:szCs w:val="32"/>
          <w:shd w:val="clear" w:color="auto" w:fill="FFFFFF"/>
        </w:rPr>
        <w:t>1</w:t>
      </w:r>
      <w:r>
        <w:rPr>
          <w:rFonts w:eastAsia="仿宋_GB2312" w:hint="eastAsia"/>
          <w:sz w:val="32"/>
          <w:szCs w:val="32"/>
          <w:shd w:val="clear" w:color="auto" w:fill="FFFFFF"/>
        </w:rPr>
        <w:t>日起施行。</w:t>
      </w:r>
    </w:p>
    <w:p w:rsidR="00D14EE4" w:rsidRDefault="00D14EE4">
      <w:bookmarkStart w:id="0" w:name="_GoBack"/>
      <w:bookmarkEnd w:id="0"/>
    </w:p>
    <w:sectPr w:rsidR="00D14EE4" w:rsidSect="00E532E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4A43" w:rsidRDefault="00E84A43">
      <w:r>
        <w:separator/>
      </w:r>
    </w:p>
  </w:endnote>
  <w:endnote w:type="continuationSeparator" w:id="1">
    <w:p w:rsidR="00E84A43" w:rsidRDefault="00E84A43">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E4" w:rsidRDefault="00E532EB">
    <w:pPr>
      <w:pStyle w:val="a3"/>
      <w:jc w:val="both"/>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199.4pt;margin-top:-7.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" filled="f" stroked="f" strokeweight=".5pt">
          <v:textbox style="mso-fit-shape-to-text:t" inset="0,0,0,0">
            <w:txbxContent>
              <w:p w:rsidR="00D14EE4" w:rsidRDefault="00E532EB">
                <w:pPr>
                  <w:pStyle w:val="a3"/>
                  <w:jc w:val="center"/>
                </w:pPr>
                <w:r>
                  <w:rPr>
                    <w:b/>
                    <w:bCs/>
                    <w:sz w:val="24"/>
                    <w:szCs w:val="24"/>
                  </w:rPr>
                  <w:fldChar w:fldCharType="begin"/>
                </w:r>
                <w:r w:rsidR="00E84A43">
                  <w:rPr>
                    <w:b/>
                    <w:bCs/>
                  </w:rPr>
                  <w:instrText>PAGE</w:instrText>
                </w:r>
                <w:r>
                  <w:rPr>
                    <w:b/>
                    <w:bCs/>
                    <w:sz w:val="24"/>
                    <w:szCs w:val="24"/>
                  </w:rPr>
                  <w:fldChar w:fldCharType="separate"/>
                </w:r>
                <w:r w:rsidR="00C458FD">
                  <w:rPr>
                    <w:b/>
                    <w:bCs/>
                    <w:noProof/>
                  </w:rPr>
                  <w:t>2</w:t>
                </w:r>
                <w:r>
                  <w:rPr>
                    <w:b/>
                    <w:bCs/>
                    <w:sz w:val="24"/>
                    <w:szCs w:val="24"/>
                  </w:rPr>
                  <w:fldChar w:fldCharType="end"/>
                </w:r>
                <w:r w:rsidR="00E84A43">
                  <w:rPr>
                    <w:lang w:val="zh-CN"/>
                  </w:rPr>
                  <w:t xml:space="preserve"> / </w:t>
                </w:r>
                <w:r>
                  <w:rPr>
                    <w:b/>
                    <w:bCs/>
                    <w:sz w:val="24"/>
                    <w:szCs w:val="24"/>
                  </w:rPr>
                  <w:fldChar w:fldCharType="begin"/>
                </w:r>
                <w:r w:rsidR="00E84A43">
                  <w:rPr>
                    <w:b/>
                    <w:bCs/>
                  </w:rPr>
                  <w:instrText>NUMPAGES</w:instrText>
                </w:r>
                <w:r>
                  <w:rPr>
                    <w:b/>
                    <w:bCs/>
                    <w:sz w:val="24"/>
                    <w:szCs w:val="24"/>
                  </w:rPr>
                  <w:fldChar w:fldCharType="separate"/>
                </w:r>
                <w:r w:rsidR="00C458FD">
                  <w:rPr>
                    <w:b/>
                    <w:bCs/>
                    <w:noProof/>
                  </w:rPr>
                  <w:t>3</w:t>
                </w:r>
                <w:r>
                  <w:rPr>
                    <w:b/>
                    <w:bCs/>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4A43" w:rsidRDefault="00E84A43">
      <w:r>
        <w:separator/>
      </w:r>
    </w:p>
  </w:footnote>
  <w:footnote w:type="continuationSeparator" w:id="1">
    <w:p w:rsidR="00E84A43" w:rsidRDefault="00E84A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1300"/>
    <w:rsid w:val="000E02A4"/>
    <w:rsid w:val="00190ED2"/>
    <w:rsid w:val="002517A6"/>
    <w:rsid w:val="002F00ED"/>
    <w:rsid w:val="00322CBE"/>
    <w:rsid w:val="004444F0"/>
    <w:rsid w:val="00466E95"/>
    <w:rsid w:val="004A3E2B"/>
    <w:rsid w:val="007E094D"/>
    <w:rsid w:val="00840B50"/>
    <w:rsid w:val="00951E57"/>
    <w:rsid w:val="009F018A"/>
    <w:rsid w:val="00C019A6"/>
    <w:rsid w:val="00C458FD"/>
    <w:rsid w:val="00CC4424"/>
    <w:rsid w:val="00D14EE4"/>
    <w:rsid w:val="00DC3D18"/>
    <w:rsid w:val="00E02268"/>
    <w:rsid w:val="00E532EB"/>
    <w:rsid w:val="00E605B9"/>
    <w:rsid w:val="00E84A43"/>
    <w:rsid w:val="00E853E8"/>
    <w:rsid w:val="00F50297"/>
    <w:rsid w:val="00F674CC"/>
    <w:rsid w:val="00F71300"/>
    <w:rsid w:val="096864F2"/>
    <w:rsid w:val="0EDE1004"/>
    <w:rsid w:val="40F7192E"/>
    <w:rsid w:val="47A327C1"/>
    <w:rsid w:val="498B75E8"/>
    <w:rsid w:val="4B200407"/>
    <w:rsid w:val="79E63D12"/>
    <w:rsid w:val="79F33ECD"/>
    <w:rsid w:val="7A7C64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2E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532EB"/>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532E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E532EB"/>
    <w:pPr>
      <w:spacing w:beforeAutospacing="1" w:afterAutospacing="1"/>
      <w:jc w:val="left"/>
    </w:pPr>
    <w:rPr>
      <w:rFonts w:ascii="Calibri" w:hAnsi="Calibri"/>
      <w:kern w:val="0"/>
      <w:sz w:val="24"/>
    </w:rPr>
  </w:style>
  <w:style w:type="character" w:customStyle="1" w:styleId="msoins0">
    <w:name w:val="msoins"/>
    <w:basedOn w:val="a0"/>
    <w:qFormat/>
    <w:rsid w:val="00E532EB"/>
  </w:style>
  <w:style w:type="character" w:customStyle="1" w:styleId="Char0">
    <w:name w:val="页眉 Char"/>
    <w:basedOn w:val="a0"/>
    <w:link w:val="a4"/>
    <w:uiPriority w:val="99"/>
    <w:qFormat/>
    <w:rsid w:val="00E532EB"/>
    <w:rPr>
      <w:rFonts w:ascii="Times New Roman" w:eastAsia="宋体" w:hAnsi="Times New Roman" w:cs="Times New Roman"/>
      <w:sz w:val="18"/>
      <w:szCs w:val="18"/>
    </w:rPr>
  </w:style>
  <w:style w:type="character" w:customStyle="1" w:styleId="Char">
    <w:name w:val="页脚 Char"/>
    <w:basedOn w:val="a0"/>
    <w:link w:val="a3"/>
    <w:uiPriority w:val="99"/>
    <w:qFormat/>
    <w:rsid w:val="00E532E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163</Words>
  <Characters>930</Characters>
  <Application>Microsoft Office Word</Application>
  <DocSecurity>4</DocSecurity>
  <Lines>7</Lines>
  <Paragraphs>2</Paragraphs>
  <ScaleCrop>false</ScaleCrop>
  <Company/>
  <LinksUpToDate>false</LinksUpToDate>
  <CharactersWithSpaces>1091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dujing</dc:creator>
  <cp:lastModifiedBy>iholyangel@hotmail.com</cp:lastModifiedBy>
  <cp:revision>2</cp:revision>
  <dcterms:created xsi:type="dcterms:W3CDTF">2021-12-24T01:58:00Z</dcterms:created>
  <dcterms:modified xsi:type="dcterms:W3CDTF">2021-12-24T01:58:00Z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3198EE22E732462F9D0C1E120221F4AE</vt:lpwstr>
  </property>
</Properties>
</file>